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20-F</w:t>
      </w:r>
    </w:p>
    <w:p>
      <w:pPr>
        <w:spacing w:after="0" w:line="267" w:lineRule="exact"/>
        <w:rPr>
          <w:sz w:val="24"/>
          <w:szCs w:val="24"/>
          <w:color w:val="auto"/>
        </w:rPr>
      </w:pPr>
    </w:p>
    <w:p>
      <w:pPr>
        <w:ind w:left="4140" w:right="3740" w:hanging="2835"/>
        <w:spacing w:after="0" w:line="274" w:lineRule="auto"/>
        <w:tabs>
          <w:tab w:leader="none" w:pos="15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REGISTRATION STATEMENT PURSUANT TO SECTION 12(b) OR (g) OF THE SECURITIES EXCHANGE ACT OF 1934</w:t>
      </w:r>
    </w:p>
    <w:p>
      <w:pPr>
        <w:ind w:left="5580"/>
        <w:spacing w:after="0"/>
        <w:rPr>
          <w:rFonts w:ascii="MS PGothic" w:cs="MS PGothic" w:eastAsia="MS PGothic" w:hAnsi="MS PGothic"/>
          <w:sz w:val="17"/>
          <w:szCs w:val="17"/>
          <w:color w:val="auto"/>
        </w:rPr>
      </w:pPr>
      <w:r>
        <w:rPr>
          <w:rFonts w:ascii="Arial" w:cs="Arial" w:eastAsia="Arial" w:hAnsi="Arial"/>
          <w:sz w:val="18"/>
          <w:szCs w:val="18"/>
          <w:color w:val="auto"/>
        </w:rPr>
        <w:t>OR</w:t>
      </w:r>
    </w:p>
    <w:p>
      <w:pPr>
        <w:spacing w:after="0" w:line="9" w:lineRule="exact"/>
        <w:rPr>
          <w:sz w:val="24"/>
          <w:szCs w:val="24"/>
          <w:color w:val="auto"/>
        </w:rPr>
      </w:pPr>
    </w:p>
    <w:p>
      <w:pPr>
        <w:ind w:left="4680" w:right="3660" w:hanging="3371"/>
        <w:spacing w:after="0" w:line="265" w:lineRule="auto"/>
        <w:rPr>
          <w:sz w:val="20"/>
          <w:szCs w:val="20"/>
          <w:color w:val="auto"/>
        </w:rPr>
      </w:pPr>
      <w:r>
        <w:rPr>
          <w:rFonts w:ascii="Arial" w:cs="Arial" w:eastAsia="Arial" w:hAnsi="Arial"/>
          <w:sz w:val="17"/>
          <w:szCs w:val="17"/>
          <w:color w:val="auto"/>
        </w:rPr>
        <w:t>x ANNUAL REPORT PURSUANT TO SECTION 13 OR 15(d) OF THE SECURITIES EXCHANGE ACT OF 1934</w:t>
      </w:r>
    </w:p>
    <w:p>
      <w:pPr>
        <w:jc w:val="center"/>
        <w:ind w:right="-59"/>
        <w:spacing w:after="0"/>
        <w:rPr>
          <w:sz w:val="20"/>
          <w:szCs w:val="20"/>
          <w:color w:val="auto"/>
        </w:rPr>
      </w:pPr>
      <w:r>
        <w:rPr>
          <w:rFonts w:ascii="Arial" w:cs="Arial" w:eastAsia="Arial" w:hAnsi="Arial"/>
          <w:sz w:val="18"/>
          <w:szCs w:val="18"/>
          <w:color w:val="auto"/>
        </w:rPr>
        <w:t>For the fiscal year ended December 31, 2010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4680" w:right="3280" w:hanging="3375"/>
        <w:spacing w:after="0" w:line="253" w:lineRule="auto"/>
        <w:tabs>
          <w:tab w:leader="none" w:pos="151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4680" w:right="2820" w:hanging="3375"/>
        <w:spacing w:after="0" w:line="250" w:lineRule="auto"/>
        <w:tabs>
          <w:tab w:leader="none" w:pos="151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4440"/>
        <w:spacing w:after="0"/>
        <w:tabs>
          <w:tab w:leader="none" w:pos="6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Commission file number 1-14014</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(Exact name of registrant as specified in its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charter)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(Jurisdiction of incorporation or organization)</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Lima 12, Perú</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Alvaro Correa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Phone (+511) 313 2140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Facsimile (+511) 313 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1040" w:type="dxa"/>
            <w:vAlign w:val="bottom"/>
          </w:tcPr>
          <w:p>
            <w:pPr>
              <w:spacing w:after="0"/>
              <w:rPr>
                <w:sz w:val="18"/>
                <w:szCs w:val="18"/>
                <w:color w:val="auto"/>
              </w:rPr>
            </w:pPr>
          </w:p>
        </w:tc>
      </w:tr>
      <w:tr>
        <w:trPr>
          <w:trHeight w:val="237"/>
        </w:trPr>
        <w:tc>
          <w:tcPr>
            <w:tcW w:w="50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59"/>
        </w:trPr>
        <w:tc>
          <w:tcPr>
            <w:tcW w:w="6600" w:type="dxa"/>
            <w:vAlign w:val="bottom"/>
            <w:gridSpan w:val="5"/>
          </w:tcPr>
          <w:p>
            <w:pPr>
              <w:ind w:left="660"/>
              <w:spacing w:after="0"/>
              <w:rPr>
                <w:sz w:val="20"/>
                <w:szCs w:val="20"/>
                <w:color w:val="auto"/>
              </w:rPr>
            </w:pPr>
            <w:r>
              <w:rPr>
                <w:rFonts w:ascii="Arial" w:cs="Arial" w:eastAsia="Arial" w:hAnsi="Arial"/>
                <w:sz w:val="18"/>
                <w:szCs w:val="18"/>
                <w:b w:val="1"/>
                <w:bCs w:val="1"/>
                <w:color w:val="auto"/>
                <w:w w:val="90"/>
              </w:rPr>
              <w:t>Securities registered or to be registered pursuant to Section 12(g) of the Act.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740"/>
              <w:spacing w:after="0"/>
              <w:rPr>
                <w:sz w:val="20"/>
                <w:szCs w:val="20"/>
                <w:color w:val="auto"/>
              </w:rPr>
            </w:pPr>
            <w:r>
              <w:rPr>
                <w:rFonts w:ascii="Arial" w:cs="Arial" w:eastAsia="Arial" w:hAnsi="Arial"/>
                <w:sz w:val="18"/>
                <w:szCs w:val="18"/>
                <w:color w:val="auto"/>
              </w:rPr>
              <w:t>None</w:t>
            </w:r>
          </w:p>
        </w:tc>
      </w:tr>
      <w:tr>
        <w:trPr>
          <w:trHeight w:val="459"/>
        </w:trPr>
        <w:tc>
          <w:tcPr>
            <w:tcW w:w="7440" w:type="dxa"/>
            <w:vAlign w:val="bottom"/>
            <w:gridSpan w:val="7"/>
          </w:tcPr>
          <w:p>
            <w:pPr>
              <w:ind w:left="660"/>
              <w:spacing w:after="0"/>
              <w:rPr>
                <w:sz w:val="20"/>
                <w:szCs w:val="20"/>
                <w:color w:val="auto"/>
              </w:rPr>
            </w:pPr>
            <w:r>
              <w:rPr>
                <w:rFonts w:ascii="Arial" w:cs="Arial" w:eastAsia="Arial" w:hAnsi="Arial"/>
                <w:sz w:val="18"/>
                <w:szCs w:val="18"/>
                <w:b w:val="1"/>
                <w:bCs w:val="1"/>
                <w:color w:val="auto"/>
                <w:w w:val="90"/>
              </w:rPr>
              <w:t>Securities for which there is a reporting obligation pursuant to Section 15(d) of the Act.</w:t>
            </w:r>
          </w:p>
        </w:tc>
        <w:tc>
          <w:tcPr>
            <w:tcW w:w="3840" w:type="dxa"/>
            <w:vAlign w:val="bottom"/>
            <w:gridSpan w:val="2"/>
          </w:tcPr>
          <w:p>
            <w:pPr>
              <w:ind w:left="760"/>
              <w:spacing w:after="0"/>
              <w:rPr>
                <w:sz w:val="20"/>
                <w:szCs w:val="20"/>
                <w:color w:val="auto"/>
              </w:rPr>
            </w:pPr>
            <w:r>
              <w:rPr>
                <w:rFonts w:ascii="Arial" w:cs="Arial" w:eastAsia="Arial" w:hAnsi="Arial"/>
                <w:sz w:val="18"/>
                <w:szCs w:val="18"/>
                <w:color w:val="auto"/>
              </w:rPr>
              <w:t>None</w:t>
            </w:r>
          </w:p>
        </w:tc>
      </w:tr>
      <w:tr>
        <w:trPr>
          <w:trHeight w:val="441"/>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w w:val="87"/>
              </w:rPr>
              <w:t>Indicate the number of outstanding shares of each of the issuer’s classes of capital or common stock as of the close of the period covered by</w:t>
            </w: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the annual report.   </w:t>
            </w:r>
            <w:r>
              <w:rPr>
                <w:rFonts w:ascii="Arial" w:cs="Arial" w:eastAsia="Arial" w:hAnsi="Arial"/>
                <w:sz w:val="18"/>
                <w:szCs w:val="18"/>
                <w:color w:val="auto"/>
                <w:w w:val="97"/>
              </w:rPr>
              <w:t>Common Shares, par value $5.00 per share</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94,382,317</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2"/>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tc>
      </w:tr>
      <w:tr>
        <w:trPr>
          <w:trHeight w:val="283"/>
        </w:trPr>
        <w:tc>
          <w:tcPr>
            <w:tcW w:w="2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Yes</w:t>
            </w:r>
          </w:p>
        </w:tc>
        <w:tc>
          <w:tcPr>
            <w:tcW w:w="460" w:type="dxa"/>
            <w:vAlign w:val="bottom"/>
          </w:tcPr>
          <w:p>
            <w:pPr>
              <w:ind w:left="260"/>
              <w:spacing w:after="0"/>
              <w:rPr>
                <w:sz w:val="20"/>
                <w:szCs w:val="20"/>
                <w:color w:val="auto"/>
              </w:rPr>
            </w:pPr>
            <w:r>
              <w:rPr>
                <w:rFonts w:ascii="Arial" w:cs="Arial" w:eastAsia="Arial" w:hAnsi="Arial"/>
                <w:sz w:val="18"/>
                <w:szCs w:val="18"/>
                <w:color w:val="auto"/>
              </w:rPr>
              <w:t>x</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No</w:t>
            </w:r>
          </w:p>
        </w:tc>
        <w:tc>
          <w:tcPr>
            <w:tcW w:w="84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5" w:lineRule="exact"/>
        <w:rPr>
          <w:sz w:val="24"/>
          <w:szCs w:val="24"/>
          <w:color w:val="auto"/>
        </w:rPr>
      </w:pPr>
    </w:p>
    <w:p>
      <w:pPr>
        <w:jc w:val="both"/>
        <w:ind w:right="60" w:firstLine="648"/>
        <w:spacing w:after="0" w:line="258"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ind w:left="4540"/>
        <w:spacing w:after="0" w:line="207" w:lineRule="exact"/>
        <w:tabs>
          <w:tab w:leader="none" w:pos="5280" w:val="left"/>
          <w:tab w:leader="none" w:pos="6240" w:val="left"/>
          <w:tab w:leader="none" w:pos="6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39"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40"/>
        <w:spacing w:after="0" w:line="207" w:lineRule="exact"/>
        <w:tabs>
          <w:tab w:leader="none" w:pos="5280" w:val="left"/>
          <w:tab w:leader="none" w:pos="61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w:t>
      </w:r>
    </w:p>
    <w:p>
      <w:pPr>
        <w:sectPr>
          <w:pgSz w:w="11900" w:h="16838" w:orient="portrait"/>
          <w:cols w:equalWidth="0" w:num="1">
            <w:col w:w="11360"/>
          </w:cols>
          <w:pgMar w:left="240" w:top="314" w:right="2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w w:val="90"/>
              </w:rPr>
              <w:t>for such shorter period that the registrant was required to submit and post such files).</w:t>
            </w:r>
          </w:p>
        </w:tc>
        <w:tc>
          <w:tcPr>
            <w:tcW w:w="2660" w:type="dxa"/>
            <w:vAlign w:val="bottom"/>
            <w:vMerge w:val="restart"/>
          </w:tcPr>
          <w:p>
            <w:pPr>
              <w:jc w:val="right"/>
              <w:ind w:right="235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rPr>
              <w:t>Yes</w:t>
            </w:r>
          </w:p>
        </w:tc>
        <w:tc>
          <w:tcPr>
            <w:tcW w:w="1280" w:type="dxa"/>
            <w:vAlign w:val="bottom"/>
          </w:tcPr>
          <w:p>
            <w:pPr>
              <w:ind w:left="400"/>
              <w:spacing w:after="0"/>
              <w:rPr>
                <w:sz w:val="20"/>
                <w:szCs w:val="20"/>
                <w:color w:val="auto"/>
              </w:rPr>
            </w:pPr>
            <w:r>
              <w:rPr>
                <w:rFonts w:ascii="Arial" w:cs="Arial" w:eastAsia="Arial" w:hAnsi="Arial"/>
                <w:sz w:val="18"/>
                <w:szCs w:val="18"/>
                <w:color w:val="auto"/>
              </w:rPr>
              <w:t>x</w:t>
            </w:r>
          </w:p>
        </w:tc>
        <w:tc>
          <w:tcPr>
            <w:tcW w:w="480" w:type="dxa"/>
            <w:vAlign w:val="bottom"/>
          </w:tcPr>
          <w:p>
            <w:pPr>
              <w:ind w:left="20"/>
              <w:spacing w:after="0"/>
              <w:rPr>
                <w:sz w:val="20"/>
                <w:szCs w:val="20"/>
                <w:color w:val="auto"/>
              </w:rPr>
            </w:pPr>
            <w:r>
              <w:rPr>
                <w:rFonts w:ascii="Arial" w:cs="Arial" w:eastAsia="Arial" w:hAnsi="Arial"/>
                <w:sz w:val="18"/>
                <w:szCs w:val="18"/>
                <w:color w:val="auto"/>
              </w:rPr>
              <w:t>No</w:t>
            </w:r>
          </w:p>
        </w:tc>
        <w:tc>
          <w:tcPr>
            <w:tcW w:w="2660" w:type="dxa"/>
            <w:vAlign w:val="bottom"/>
            <w:vMerge w:val="continue"/>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2"/>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w w:val="92"/>
              </w:rPr>
              <w:t>See</w:t>
            </w:r>
            <w:r>
              <w:rPr>
                <w:rFonts w:ascii="Arial" w:cs="Arial" w:eastAsia="Arial" w:hAnsi="Arial"/>
                <w:sz w:val="18"/>
                <w:szCs w:val="18"/>
                <w:b w:val="1"/>
                <w:bCs w:val="1"/>
                <w:color w:val="auto"/>
                <w:w w:val="92"/>
              </w:rPr>
              <w:t xml:space="preserve"> definition of</w:t>
            </w:r>
          </w:p>
        </w:tc>
        <w:tc>
          <w:tcPr>
            <w:tcW w:w="0" w:type="dxa"/>
            <w:vAlign w:val="bottom"/>
          </w:tcPr>
          <w:p>
            <w:pPr>
              <w:spacing w:after="0"/>
              <w:rPr>
                <w:sz w:val="1"/>
                <w:szCs w:val="1"/>
                <w:color w:val="auto"/>
              </w:rPr>
            </w:pPr>
          </w:p>
        </w:tc>
      </w:tr>
      <w:tr>
        <w:trPr>
          <w:trHeight w:val="187"/>
        </w:trPr>
        <w:tc>
          <w:tcPr>
            <w:tcW w:w="6180" w:type="dxa"/>
            <w:vAlign w:val="bottom"/>
            <w:gridSpan w:val="3"/>
          </w:tcPr>
          <w:p>
            <w:pPr>
              <w:spacing w:after="0" w:line="188" w:lineRule="exact"/>
              <w:rPr>
                <w:sz w:val="20"/>
                <w:szCs w:val="20"/>
                <w:color w:val="auto"/>
              </w:rPr>
            </w:pPr>
            <w:r>
              <w:rPr>
                <w:rFonts w:ascii="Arial" w:cs="Arial" w:eastAsia="Arial" w:hAnsi="Arial"/>
                <w:sz w:val="18"/>
                <w:szCs w:val="18"/>
                <w:b w:val="1"/>
                <w:bCs w:val="1"/>
                <w:color w:val="auto"/>
                <w:w w:val="90"/>
              </w:rPr>
              <w:t>“accelerated filer and large accelerated filer” in Rule 12b-2 of the Exchange Act.</w:t>
            </w:r>
          </w:p>
        </w:tc>
        <w:tc>
          <w:tcPr>
            <w:tcW w:w="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1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3580" w:type="dxa"/>
            <w:vAlign w:val="bottom"/>
          </w:tcPr>
          <w:p>
            <w:pPr>
              <w:ind w:left="1920"/>
              <w:spacing w:after="0"/>
              <w:rPr>
                <w:sz w:val="20"/>
                <w:szCs w:val="20"/>
                <w:color w:val="auto"/>
              </w:rPr>
            </w:pPr>
            <w:r>
              <w:rPr>
                <w:rFonts w:ascii="Arial" w:cs="Arial" w:eastAsia="Arial" w:hAnsi="Arial"/>
                <w:sz w:val="18"/>
                <w:szCs w:val="18"/>
                <w:color w:val="auto"/>
                <w:w w:val="92"/>
              </w:rPr>
              <w:t>Large accelerated filer</w:t>
            </w:r>
          </w:p>
        </w:tc>
        <w:tc>
          <w:tcPr>
            <w:tcW w:w="1320" w:type="dxa"/>
            <w:vAlign w:val="bottom"/>
          </w:tcPr>
          <w:p>
            <w:pPr>
              <w:ind w:left="40"/>
              <w:spacing w:after="0"/>
              <w:rPr>
                <w:sz w:val="20"/>
                <w:szCs w:val="20"/>
                <w:color w:val="auto"/>
              </w:rPr>
            </w:pPr>
            <w:r>
              <w:rPr>
                <w:rFonts w:ascii="Arial" w:cs="Arial" w:eastAsia="Arial" w:hAnsi="Arial"/>
                <w:sz w:val="18"/>
                <w:szCs w:val="18"/>
                <w:color w:val="auto"/>
              </w:rPr>
              <w:t>x</w:t>
            </w:r>
          </w:p>
        </w:tc>
        <w:tc>
          <w:tcPr>
            <w:tcW w:w="1760" w:type="dxa"/>
            <w:vAlign w:val="bottom"/>
            <w:gridSpan w:val="2"/>
          </w:tcPr>
          <w:p>
            <w:pPr>
              <w:jc w:val="center"/>
              <w:ind w:right="10"/>
              <w:spacing w:after="0" w:line="207" w:lineRule="exact"/>
              <w:rPr>
                <w:sz w:val="20"/>
                <w:szCs w:val="20"/>
                <w:color w:val="auto"/>
              </w:rPr>
            </w:pPr>
            <w:r>
              <w:rPr>
                <w:rFonts w:ascii="Arial" w:cs="Arial" w:eastAsia="Arial" w:hAnsi="Arial"/>
                <w:sz w:val="18"/>
                <w:szCs w:val="18"/>
                <w:color w:val="auto"/>
                <w:w w:val="95"/>
              </w:rPr>
              <w:t xml:space="preserve">Accelerated filer </w:t>
            </w:r>
            <w:r>
              <w:rPr>
                <w:rFonts w:ascii="MS PGothic" w:cs="MS PGothic" w:eastAsia="MS PGothic" w:hAnsi="MS PGothic"/>
                <w:sz w:val="18"/>
                <w:szCs w:val="18"/>
                <w:color w:val="auto"/>
                <w:w w:val="95"/>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Non-accelerated filer</w:t>
            </w: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1420" w:type="dxa"/>
            <w:vAlign w:val="bottom"/>
            <w:gridSpan w:val="6"/>
          </w:tcPr>
          <w:p>
            <w:pPr>
              <w:ind w:left="660"/>
              <w:spacing w:after="0" w:line="188" w:lineRule="exact"/>
              <w:rPr>
                <w:sz w:val="20"/>
                <w:szCs w:val="20"/>
                <w:color w:val="auto"/>
              </w:rPr>
            </w:pPr>
            <w:r>
              <w:rPr>
                <w:rFonts w:ascii="Arial" w:cs="Arial" w:eastAsia="Arial" w:hAnsi="Arial"/>
                <w:sz w:val="18"/>
                <w:szCs w:val="18"/>
                <w:b w:val="1"/>
                <w:bCs w:val="1"/>
                <w:color w:val="auto"/>
                <w:w w:val="95"/>
              </w:rPr>
              <w:t>Indicate by check mark which basis of accounting the registrant has used to prepare the financial statements included in this filing:</w:t>
            </w:r>
          </w:p>
        </w:tc>
        <w:tc>
          <w:tcPr>
            <w:tcW w:w="0" w:type="dxa"/>
            <w:vAlign w:val="bottom"/>
          </w:tcPr>
          <w:p>
            <w:pPr>
              <w:spacing w:after="0"/>
              <w:rPr>
                <w:sz w:val="1"/>
                <w:szCs w:val="1"/>
                <w:color w:val="auto"/>
              </w:rPr>
            </w:pPr>
          </w:p>
        </w:tc>
      </w:tr>
      <w:tr>
        <w:trPr>
          <w:trHeight w:val="249"/>
        </w:trPr>
        <w:tc>
          <w:tcPr>
            <w:tcW w:w="358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5740" w:type="dxa"/>
            <w:vAlign w:val="bottom"/>
            <w:gridSpan w:val="4"/>
          </w:tcPr>
          <w:p>
            <w:pPr>
              <w:jc w:val="center"/>
              <w:ind w:right="1370"/>
              <w:spacing w:after="0"/>
              <w:rPr>
                <w:sz w:val="20"/>
                <w:szCs w:val="20"/>
                <w:color w:val="auto"/>
              </w:rPr>
            </w:pPr>
            <w:r>
              <w:rPr>
                <w:rFonts w:ascii="Arial" w:cs="Arial" w:eastAsia="Arial" w:hAnsi="Arial"/>
                <w:sz w:val="18"/>
                <w:szCs w:val="18"/>
                <w:color w:val="auto"/>
                <w:w w:val="89"/>
              </w:rPr>
              <w:t>International Financial Reporting Standards as issued</w:t>
            </w:r>
          </w:p>
        </w:tc>
        <w:tc>
          <w:tcPr>
            <w:tcW w:w="210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5740" w:type="dxa"/>
            <w:vAlign w:val="bottom"/>
            <w:gridSpan w:val="4"/>
          </w:tcPr>
          <w:p>
            <w:pPr>
              <w:jc w:val="center"/>
              <w:ind w:right="1370"/>
              <w:spacing w:after="0"/>
              <w:rPr>
                <w:sz w:val="20"/>
                <w:szCs w:val="20"/>
                <w:color w:val="auto"/>
              </w:rPr>
            </w:pPr>
            <w:r>
              <w:rPr>
                <w:rFonts w:ascii="Arial" w:cs="Arial" w:eastAsia="Arial" w:hAnsi="Arial"/>
                <w:sz w:val="18"/>
                <w:szCs w:val="18"/>
                <w:color w:val="auto"/>
                <w:w w:val="92"/>
              </w:rPr>
              <w:t>by the International Accounting Standards Board  x</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“Other” has been checked in response to the previous question, indicate by check mark which financial statement item the registrant has</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elected to follow.</w:t>
            </w:r>
          </w:p>
        </w:tc>
        <w:tc>
          <w:tcPr>
            <w:tcW w:w="2600" w:type="dxa"/>
            <w:vAlign w:val="bottom"/>
            <w:gridSpan w:val="2"/>
            <w:vMerge w:val="restart"/>
          </w:tcPr>
          <w:p>
            <w:pPr>
              <w:ind w:left="80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p>
        </w:tc>
        <w:tc>
          <w:tcPr>
            <w:tcW w:w="3140" w:type="dxa"/>
            <w:vAlign w:val="bottom"/>
            <w:gridSpan w:val="2"/>
            <w:vMerge w:val="restart"/>
          </w:tcPr>
          <w:p>
            <w:pPr>
              <w:jc w:val="right"/>
              <w:ind w:right="2190"/>
              <w:spacing w:after="0" w:line="207" w:lineRule="exact"/>
              <w:rPr>
                <w:sz w:val="20"/>
                <w:szCs w:val="20"/>
                <w:color w:val="auto"/>
              </w:rPr>
            </w:pPr>
            <w:r>
              <w:rPr>
                <w:rFonts w:ascii="Arial" w:cs="Arial" w:eastAsia="Arial" w:hAnsi="Arial"/>
                <w:sz w:val="18"/>
                <w:szCs w:val="18"/>
                <w:color w:val="auto"/>
              </w:rPr>
              <w:t xml:space="preserve">Item 18 </w:t>
            </w:r>
            <w:r>
              <w:rPr>
                <w:rFonts w:ascii="MS PGothic" w:cs="MS PGothic" w:eastAsia="MS PGothic" w:hAnsi="MS PGothic"/>
                <w:sz w:val="18"/>
                <w:szCs w:val="18"/>
                <w:color w:val="auto"/>
              </w:rPr>
              <w:t>☐</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3140" w:type="dxa"/>
            <w:vAlign w:val="bottom"/>
            <w:gridSpan w:val="2"/>
            <w:vMerge w:val="continue"/>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this is an annual report, 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4"/>
                <w:szCs w:val="24"/>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rPr>
              <w:t>Yes</w:t>
            </w:r>
          </w:p>
        </w:tc>
        <w:tc>
          <w:tcPr>
            <w:tcW w:w="1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80"/>
              <w:spacing w:after="0"/>
              <w:rPr>
                <w:sz w:val="20"/>
                <w:szCs w:val="20"/>
                <w:color w:val="auto"/>
              </w:rPr>
            </w:pPr>
            <w:r>
              <w:rPr>
                <w:rFonts w:ascii="Arial" w:cs="Arial" w:eastAsia="Arial" w:hAnsi="Arial"/>
                <w:sz w:val="18"/>
                <w:szCs w:val="18"/>
                <w:color w:val="auto"/>
              </w:rPr>
              <w:t>No</w:t>
            </w:r>
          </w:p>
        </w:tc>
        <w:tc>
          <w:tcPr>
            <w:tcW w:w="2660" w:type="dxa"/>
            <w:vAlign w:val="bottom"/>
          </w:tcPr>
          <w:p>
            <w:pPr>
              <w:jc w:val="right"/>
              <w:ind w:right="2330"/>
              <w:spacing w:after="0"/>
              <w:rPr>
                <w:sz w:val="20"/>
                <w:szCs w:val="20"/>
                <w:color w:val="auto"/>
              </w:rPr>
            </w:pPr>
            <w:r>
              <w:rPr>
                <w:rFonts w:ascii="Arial" w:cs="Arial" w:eastAsia="Arial" w:hAnsi="Arial"/>
                <w:sz w:val="18"/>
                <w:szCs w:val="18"/>
                <w:color w:val="auto"/>
              </w:rPr>
              <w:t>x</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35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15T.</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CHANGE IN REGISTRANT’S CERTIFYING ACCOUNTANT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16G.</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CORPORATE GOVERNANCE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left="6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(also referred to as the Annual Report), to “$,” “US$,” “Dollars,” “foreign currency” or “U.S. Dollars” are to United States Dollars, and references to “S/.”, “Nuevo Sol” or “Nuevos Soles” are to Peruvian Nuevos Soles. Each Nuevo Sol is divided into 100 céntimos (cents).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Ltd. is a Bermuda limited liability company (and is referred to in this Annual Report as Credicorp, we, or us, and means either Credicorp as a separate entity or as an entity together with our consolidated subsidiaries, as the context may require). We maintain our financial books and records in U.S. Dollars and present our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operate primarily through our four operating segments: banking (including commercial and investment banking), insurance, pension funds,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brokerage and other. </w:t>
      </w:r>
      <w:r>
        <w:rPr>
          <w:rFonts w:ascii="Arial" w:cs="Arial" w:eastAsia="Arial" w:hAnsi="Arial"/>
          <w:sz w:val="16"/>
          <w:szCs w:val="16"/>
          <w:i w:val="1"/>
          <w:iCs w:val="1"/>
          <w:color w:val="auto"/>
        </w:rPr>
        <w:t>See</w:t>
      </w:r>
      <w:r>
        <w:rPr>
          <w:rFonts w:ascii="Arial" w:cs="Arial" w:eastAsia="Arial" w:hAnsi="Arial"/>
          <w:sz w:val="16"/>
          <w:szCs w:val="16"/>
          <w:color w:val="auto"/>
        </w:rPr>
        <w:t xml:space="preserve"> information about operating segments in “Item 4.-Information on the Company: (A) History and Development of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 Business Overview”.</w:t>
      </w:r>
    </w:p>
    <w:p>
      <w:pPr>
        <w:spacing w:after="0" w:line="23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Our four principal operating subsidiaries are Banco de Crédito del Perú (which, together with its consolidated subsidiaries, is referred to as BCP), Atlantic Security Bank held through Atlantic Security Holding Corporation (which, are referred to as ASB and ASHC, respectively), El Pacífico-Peruano Suiza Compañía de Seguros y Reaseguros (which, together with its consolidated subsidiaries, is referred to as Pacífico Peruano Suiza or PPS) and Prima AFP. BCP’s activities include commercial banking, investment banking and retail banking. As of and for the year ended December 31, 2010, BCP accounted for 84.7% of our total assets, 79.1% of our net income and 71.6% of our net equity. Unless otherwise specified, the individual financial information for BCP, ASHC, PPS and Prima AFP included in this Annual Report has been derived from the audited consolidated financial statements of each such entity.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5" w:lineRule="exact"/>
        <w:rPr>
          <w:sz w:val="20"/>
          <w:szCs w:val="20"/>
          <w:color w:val="auto"/>
        </w:rPr>
      </w:pPr>
    </w:p>
    <w:p>
      <w:pPr>
        <w:jc w:val="both"/>
        <w:ind w:firstLine="8"/>
        <w:spacing w:after="0" w:line="255" w:lineRule="auto"/>
        <w:tabs>
          <w:tab w:leader="none" w:pos="188"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Information—(A) Selected Financial Data” and “Item 4. Information on the Company—(A) History and Development of the Company.” We refer to BCP, ASB, PPS and Prima AFP as our main operating subsidiaries, and we refer to Grupo Crédito S.A. (Grupo Crédito) and ASHC as our two main holding subsidiaries.</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our performance. This information was obtained mainly from our consolidated financial statements as of December 31, 2006, 2007, 2008, 2009 and 2010.</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Some of our subsidiaries maintain their operations and balances in Nuevos Soles. As a result, this Annual Report contains certain Nuevo Sol amounts translated into U.S. Dollars which is solely for the convenience of the reader. You should not construe any of these translations as representations that the Nuevo Sol amounts actually represent such equivalent U.S. Dollar amounts or could be converted into U.S. Dollars at the rate indicated as of the dates mentioned herein, or at all. Unless otherwise indicated, these U.S. Dollar amounts have been translated from Nuevos Soles at an exchange rate of S/.2.809 = US$1.00, which is the December 31, 2010 exchange rate set by the Peruvian Superintendencia de Banca, Seguros y AFP (the Superintendency of Banks, Insurance and Pension Funds, or the SBS). The average of the bid and offered free market exchange rates published by the SBS for April 20, 2011 was S/..2.818 per US$1.00. Translating amounts expressed in Nuevos Soles on a specified date (at the prevailing exchange rate on that date) may result in the presentation of U.S. Dollar amounts that are different from the U.S. Dollar amounts that would have been obtained by translating Nuevos Soles on another specified date (at the prevailing exchange rate on that different specified date).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 Our Bolivian subsidiary operates in Bolivianos, a currency that has been maintained stable over the recent years. It’s Financial Statements are also represented in U.S Dollars.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ind w:left="660"/>
        <w:spacing w:after="0"/>
        <w:rPr>
          <w:sz w:val="20"/>
          <w:szCs w:val="20"/>
          <w:color w:val="auto"/>
        </w:rPr>
      </w:pPr>
      <w:r>
        <w:rPr>
          <w:rFonts w:ascii="Arial" w:cs="Arial" w:eastAsia="Arial" w:hAnsi="Arial"/>
          <w:sz w:val="18"/>
          <w:szCs w:val="18"/>
          <w:b w:val="1"/>
          <w:bCs w:val="1"/>
          <w:color w:val="auto"/>
        </w:rPr>
        <w:t>CAUTIONARY STATEMENT WITH RESPECT TO</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statements contained in this Annual Report are not historical facts, including, without limitation, certain statements made in the sections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(or the Exchange Act). These forward-looking statements are based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w:t>
      </w:r>
    </w:p>
    <w:p>
      <w:pPr>
        <w:spacing w:after="0" w:line="21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3. Key Information—(D) Risk Factors,” and “Item 5. Operating and Financial Review and Prospects.”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not under any obligation to, and we expressly disclaim any such obligation to, update or alter our forward-looking statements, whether as a result of new information, future events or otherwise.</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a summary of our consolidated financial information at the dates and for the periods indicated. This selected financial data is presented in U.S. Dollars. You should read this information in conjunction with, and qualify this information in its entirety by reference to, the Credicorp Consolidated Financial Statements, which are also presented in U.S. Dollars.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our consolidated financial data as of, and for the years ended, December 31, 2006, 2007, 2008, 2009 and 2010 is derived from the Credicorp Consolidated Financial Statements audited by Medina, Zaldívar, Paredes &amp; Asociados S.C.R.L, member of Ernst &amp; Young Global, independent registered public accountants.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Credicorp Consolidated Financial Statements as of December 31, 2009 and 2010 and for the years ended December 31, 2008, 2009 and 2010 appears elsewhere in this Annual Report.</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Arial" w:cs="Arial" w:eastAsia="Arial" w:hAnsi="Arial"/>
                <w:sz w:val="14"/>
                <w:szCs w:val="14"/>
                <w:i w:val="1"/>
                <w:iCs w:val="1"/>
                <w:color w:val="auto"/>
              </w:rPr>
              <w:t>(U.S. Dollars</w:t>
            </w:r>
          </w:p>
        </w:tc>
        <w:tc>
          <w:tcPr>
            <w:tcW w:w="300" w:type="dxa"/>
            <w:vAlign w:val="bottom"/>
            <w:gridSpan w:val="2"/>
          </w:tcPr>
          <w:p>
            <w:pPr>
              <w:ind w:left="60"/>
              <w:spacing w:after="0" w:line="130" w:lineRule="exact"/>
              <w:rPr>
                <w:sz w:val="20"/>
                <w:szCs w:val="20"/>
                <w:color w:val="auto"/>
              </w:rPr>
            </w:pPr>
            <w:r>
              <w:rPr>
                <w:rFonts w:ascii="Arial" w:cs="Arial" w:eastAsia="Arial" w:hAnsi="Arial"/>
                <w:sz w:val="14"/>
                <w:szCs w:val="14"/>
                <w:i w:val="1"/>
                <w:iCs w:val="1"/>
                <w:color w:val="auto"/>
              </w:rPr>
              <w:t>in</w:t>
            </w:r>
          </w:p>
        </w:tc>
        <w:tc>
          <w:tcPr>
            <w:tcW w:w="1040" w:type="dxa"/>
            <w:vAlign w:val="bottom"/>
          </w:tcPr>
          <w:p>
            <w:pPr>
              <w:jc w:val="right"/>
              <w:ind w:right="48"/>
              <w:spacing w:after="0" w:line="130" w:lineRule="exact"/>
              <w:rPr>
                <w:sz w:val="20"/>
                <w:szCs w:val="20"/>
                <w:color w:val="auto"/>
              </w:rPr>
            </w:pPr>
            <w:r>
              <w:rPr>
                <w:rFonts w:ascii="Arial" w:cs="Arial" w:eastAsia="Arial" w:hAnsi="Arial"/>
                <w:sz w:val="14"/>
                <w:szCs w:val="14"/>
                <w:i w:val="1"/>
                <w:iCs w:val="1"/>
                <w:color w:val="auto"/>
                <w:w w:val="79"/>
              </w:rPr>
              <w:t>thousands, except</w:t>
            </w:r>
          </w:p>
        </w:tc>
        <w:tc>
          <w:tcPr>
            <w:tcW w:w="1360" w:type="dxa"/>
            <w:vAlign w:val="bottom"/>
            <w:gridSpan w:val="3"/>
          </w:tcPr>
          <w:p>
            <w:pPr>
              <w:jc w:val="right"/>
              <w:ind w:right="228"/>
              <w:spacing w:after="0" w:line="130" w:lineRule="exact"/>
              <w:rPr>
                <w:sz w:val="20"/>
                <w:szCs w:val="20"/>
                <w:color w:val="auto"/>
              </w:rPr>
            </w:pPr>
            <w:r>
              <w:rPr>
                <w:rFonts w:ascii="Arial" w:cs="Arial" w:eastAsia="Arial" w:hAnsi="Arial"/>
                <w:sz w:val="14"/>
                <w:szCs w:val="14"/>
                <w:i w:val="1"/>
                <w:iCs w:val="1"/>
                <w:color w:val="auto"/>
                <w:w w:val="84"/>
              </w:rPr>
              <w:t>percentages, ratios,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i w:val="1"/>
                <w:iCs w:val="1"/>
                <w:color w:val="auto"/>
                <w:w w:val="92"/>
              </w:rPr>
              <w:t>and per common share data)</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income</w:t>
            </w:r>
          </w:p>
        </w:tc>
        <w:tc>
          <w:tcPr>
            <w:tcW w:w="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782,002</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US$   1,065,339</w:t>
            </w:r>
          </w:p>
        </w:tc>
        <w:tc>
          <w:tcPr>
            <w:tcW w:w="260" w:type="dxa"/>
            <w:vAlign w:val="bottom"/>
            <w:shd w:val="clear" w:color="auto" w:fill="CCFFCC"/>
          </w:tcPr>
          <w:p>
            <w:pPr>
              <w:spacing w:after="0"/>
              <w:rPr>
                <w:sz w:val="12"/>
                <w:szCs w:val="12"/>
                <w:color w:val="auto"/>
              </w:rPr>
            </w:pPr>
          </w:p>
        </w:tc>
        <w:tc>
          <w:tcPr>
            <w:tcW w:w="1360" w:type="dxa"/>
            <w:vAlign w:val="bottom"/>
            <w:gridSpan w:val="2"/>
            <w:shd w:val="clear" w:color="auto" w:fill="CCFFCC"/>
          </w:tcPr>
          <w:p>
            <w:pPr>
              <w:jc w:val="center"/>
              <w:ind w:right="248"/>
              <w:spacing w:after="0" w:line="149" w:lineRule="exact"/>
              <w:rPr>
                <w:sz w:val="20"/>
                <w:szCs w:val="20"/>
                <w:color w:val="auto"/>
              </w:rPr>
            </w:pPr>
            <w:r>
              <w:rPr>
                <w:rFonts w:ascii="Arial" w:cs="Arial" w:eastAsia="Arial" w:hAnsi="Arial"/>
                <w:sz w:val="14"/>
                <w:szCs w:val="14"/>
                <w:color w:val="auto"/>
              </w:rPr>
              <w:t>US$   1,382,844</w:t>
            </w:r>
          </w:p>
        </w:tc>
        <w:tc>
          <w:tcPr>
            <w:tcW w:w="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1,312,925</w:t>
            </w:r>
          </w:p>
        </w:tc>
        <w:tc>
          <w:tcPr>
            <w:tcW w:w="1300" w:type="dxa"/>
            <w:vAlign w:val="bottom"/>
            <w:gridSpan w:val="3"/>
            <w:shd w:val="clear" w:color="auto" w:fill="CCFFCC"/>
          </w:tcPr>
          <w:p>
            <w:pPr>
              <w:jc w:val="center"/>
              <w:ind w:right="20"/>
              <w:spacing w:after="0" w:line="149" w:lineRule="exact"/>
              <w:rPr>
                <w:sz w:val="20"/>
                <w:szCs w:val="20"/>
                <w:color w:val="auto"/>
              </w:rPr>
            </w:pPr>
            <w:r>
              <w:rPr>
                <w:rFonts w:ascii="Arial" w:cs="Arial" w:eastAsia="Arial" w:hAnsi="Arial"/>
                <w:sz w:val="14"/>
                <w:szCs w:val="14"/>
                <w:color w:val="auto"/>
              </w:rPr>
              <w:t>US$   1,471,708</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(283,478)</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(431,365)</w:t>
            </w:r>
          </w:p>
        </w:tc>
        <w:tc>
          <w:tcPr>
            <w:tcW w:w="1620" w:type="dxa"/>
            <w:vAlign w:val="bottom"/>
            <w:gridSpan w:val="3"/>
          </w:tcPr>
          <w:p>
            <w:pPr>
              <w:jc w:val="right"/>
              <w:ind w:right="188"/>
              <w:spacing w:after="0" w:line="149" w:lineRule="exact"/>
              <w:rPr>
                <w:sz w:val="20"/>
                <w:szCs w:val="20"/>
                <w:color w:val="auto"/>
              </w:rPr>
            </w:pPr>
            <w:r>
              <w:rPr>
                <w:rFonts w:ascii="Arial" w:cs="Arial" w:eastAsia="Arial" w:hAnsi="Arial"/>
                <w:sz w:val="14"/>
                <w:szCs w:val="14"/>
                <w:color w:val="auto"/>
              </w:rPr>
              <w:t>(561,617)</w:t>
            </w:r>
          </w:p>
        </w:tc>
        <w:tc>
          <w:tcPr>
            <w:tcW w:w="3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(420,564)</w:t>
            </w:r>
          </w:p>
        </w:tc>
        <w:tc>
          <w:tcPr>
            <w:tcW w:w="13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(414,121)</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498,524</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633,974</w:t>
            </w:r>
          </w:p>
        </w:tc>
        <w:tc>
          <w:tcPr>
            <w:tcW w:w="1620" w:type="dxa"/>
            <w:vAlign w:val="bottom"/>
            <w:gridSpan w:val="3"/>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821,227</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892,361</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1,057,587</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(1)</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4,243</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(28,439)</w:t>
            </w:r>
          </w:p>
        </w:tc>
        <w:tc>
          <w:tcPr>
            <w:tcW w:w="1620" w:type="dxa"/>
            <w:vAlign w:val="bottom"/>
            <w:gridSpan w:val="3"/>
          </w:tcPr>
          <w:p>
            <w:pPr>
              <w:jc w:val="right"/>
              <w:ind w:right="188"/>
              <w:spacing w:after="0" w:line="149" w:lineRule="exact"/>
              <w:rPr>
                <w:sz w:val="20"/>
                <w:szCs w:val="20"/>
                <w:color w:val="auto"/>
              </w:rPr>
            </w:pPr>
            <w:r>
              <w:rPr>
                <w:rFonts w:ascii="Arial" w:cs="Arial" w:eastAsia="Arial" w:hAnsi="Arial"/>
                <w:sz w:val="14"/>
                <w:szCs w:val="14"/>
                <w:color w:val="auto"/>
              </w:rPr>
              <w:t>(48,760)</w:t>
            </w:r>
          </w:p>
        </w:tc>
        <w:tc>
          <w:tcPr>
            <w:tcW w:w="3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(163,392)</w:t>
            </w:r>
          </w:p>
        </w:tc>
        <w:tc>
          <w:tcPr>
            <w:tcW w:w="13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(174,682)</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502,767</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605,535</w:t>
            </w:r>
          </w:p>
        </w:tc>
        <w:tc>
          <w:tcPr>
            <w:tcW w:w="1620" w:type="dxa"/>
            <w:vAlign w:val="bottom"/>
            <w:gridSpan w:val="3"/>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772,467</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728,969</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882,905</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Fees and commissions from banking services</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243,778</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324,761</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394,247</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436,819</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524,895</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(loss) from sales of securities</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27,281</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46,376</w:t>
            </w:r>
          </w:p>
        </w:tc>
        <w:tc>
          <w:tcPr>
            <w:tcW w:w="1620" w:type="dxa"/>
            <w:vAlign w:val="bottom"/>
            <w:gridSpan w:val="3"/>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51,936</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120,932</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80,326</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41,638</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61,778</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108,709</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87,944</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104,169</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premiums earned</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251,261</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297,272</w:t>
            </w:r>
          </w:p>
        </w:tc>
        <w:tc>
          <w:tcPr>
            <w:tcW w:w="1620" w:type="dxa"/>
            <w:vAlign w:val="bottom"/>
            <w:gridSpan w:val="3"/>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393,903</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424,682</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480,293</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26,197</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90,022</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37,672</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74,936</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95,145</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Claims on insurance activities</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(186,522)</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(238,600)</w:t>
            </w:r>
          </w:p>
        </w:tc>
        <w:tc>
          <w:tcPr>
            <w:tcW w:w="1620" w:type="dxa"/>
            <w:vAlign w:val="bottom"/>
            <w:gridSpan w:val="3"/>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(341,910)</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(286,458)</w:t>
            </w:r>
          </w:p>
        </w:tc>
        <w:tc>
          <w:tcPr>
            <w:tcW w:w="130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(315,572)</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(585,058)</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(747,089)</w:t>
            </w:r>
          </w:p>
        </w:tc>
        <w:tc>
          <w:tcPr>
            <w:tcW w:w="1620" w:type="dxa"/>
            <w:vAlign w:val="bottom"/>
            <w:gridSpan w:val="3"/>
          </w:tcPr>
          <w:p>
            <w:pPr>
              <w:jc w:val="right"/>
              <w:ind w:right="188"/>
              <w:spacing w:after="0" w:line="149" w:lineRule="exact"/>
              <w:rPr>
                <w:sz w:val="20"/>
                <w:szCs w:val="20"/>
                <w:color w:val="auto"/>
              </w:rPr>
            </w:pPr>
            <w:r>
              <w:rPr>
                <w:rFonts w:ascii="Arial" w:cs="Arial" w:eastAsia="Arial" w:hAnsi="Arial"/>
                <w:sz w:val="14"/>
                <w:szCs w:val="14"/>
                <w:color w:val="auto"/>
              </w:rPr>
              <w:t>(920,603)</w:t>
            </w:r>
          </w:p>
        </w:tc>
        <w:tc>
          <w:tcPr>
            <w:tcW w:w="3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(957,110)</w:t>
            </w:r>
          </w:p>
        </w:tc>
        <w:tc>
          <w:tcPr>
            <w:tcW w:w="13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(1,085,885)</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Merger costs</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(5,706)</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Income before translation result and income tax</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315,636</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440,055</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496,421</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630,714</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766,276</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15,216</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34,627</w:t>
            </w:r>
          </w:p>
        </w:tc>
        <w:tc>
          <w:tcPr>
            <w:tcW w:w="1620" w:type="dxa"/>
            <w:vAlign w:val="bottom"/>
            <w:gridSpan w:val="3"/>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(17,650)</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12,222)</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24,120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3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(83,587)</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(102,287)</w:t>
            </w:r>
          </w:p>
        </w:tc>
        <w:tc>
          <w:tcPr>
            <w:tcW w:w="1620" w:type="dxa"/>
            <w:vAlign w:val="bottom"/>
            <w:gridSpan w:val="3"/>
          </w:tcPr>
          <w:p>
            <w:pPr>
              <w:jc w:val="right"/>
              <w:ind w:right="188"/>
              <w:spacing w:after="0" w:line="149" w:lineRule="exact"/>
              <w:rPr>
                <w:sz w:val="20"/>
                <w:szCs w:val="20"/>
                <w:color w:val="auto"/>
              </w:rPr>
            </w:pPr>
            <w:r>
              <w:rPr>
                <w:rFonts w:ascii="Arial" w:cs="Arial" w:eastAsia="Arial" w:hAnsi="Arial"/>
                <w:sz w:val="14"/>
                <w:szCs w:val="14"/>
                <w:color w:val="auto"/>
              </w:rPr>
              <w:t>(109,508)</w:t>
            </w:r>
          </w:p>
        </w:tc>
        <w:tc>
          <w:tcPr>
            <w:tcW w:w="3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(138,500)</w:t>
            </w: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(187,081) )</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247,265</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372,395</w:t>
            </w:r>
          </w:p>
        </w:tc>
        <w:tc>
          <w:tcPr>
            <w:tcW w:w="1620" w:type="dxa"/>
            <w:vAlign w:val="bottom"/>
            <w:gridSpan w:val="3"/>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369,263</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504,436</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603,315</w:t>
            </w:r>
          </w:p>
        </w:tc>
      </w:tr>
      <w:tr>
        <w:trPr>
          <w:trHeight w:val="135"/>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95"/>
              </w:rPr>
              <w:t>Attributable to:</w:t>
            </w:r>
          </w:p>
        </w:tc>
        <w:tc>
          <w:tcPr>
            <w:tcW w:w="3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attributable to Credicorp’s equity holders</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230,013</w:t>
            </w:r>
          </w:p>
        </w:tc>
        <w:tc>
          <w:tcPr>
            <w:tcW w:w="1220" w:type="dxa"/>
            <w:vAlign w:val="bottom"/>
            <w:gridSpan w:val="3"/>
            <w:shd w:val="clear" w:color="auto" w:fill="CCFFCC"/>
          </w:tcPr>
          <w:p>
            <w:pPr>
              <w:jc w:val="right"/>
              <w:spacing w:after="0" w:line="142" w:lineRule="exact"/>
              <w:rPr>
                <w:sz w:val="20"/>
                <w:szCs w:val="20"/>
                <w:color w:val="auto"/>
              </w:rPr>
            </w:pPr>
            <w:r>
              <w:rPr>
                <w:rFonts w:ascii="Arial" w:cs="Arial" w:eastAsia="Arial" w:hAnsi="Arial"/>
                <w:sz w:val="14"/>
                <w:szCs w:val="14"/>
                <w:color w:val="auto"/>
              </w:rPr>
              <w:t>350,735</w:t>
            </w:r>
          </w:p>
        </w:tc>
        <w:tc>
          <w:tcPr>
            <w:tcW w:w="1620" w:type="dxa"/>
            <w:vAlign w:val="bottom"/>
            <w:gridSpan w:val="3"/>
            <w:shd w:val="clear" w:color="auto" w:fill="CCFFCC"/>
          </w:tcPr>
          <w:p>
            <w:pPr>
              <w:jc w:val="right"/>
              <w:ind w:right="248"/>
              <w:spacing w:after="0" w:line="142" w:lineRule="exact"/>
              <w:rPr>
                <w:sz w:val="20"/>
                <w:szCs w:val="20"/>
                <w:color w:val="auto"/>
              </w:rPr>
            </w:pPr>
            <w:r>
              <w:rPr>
                <w:rFonts w:ascii="Arial" w:cs="Arial" w:eastAsia="Arial" w:hAnsi="Arial"/>
                <w:sz w:val="14"/>
                <w:szCs w:val="14"/>
                <w:color w:val="auto"/>
              </w:rPr>
              <w:t>357,756</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469,785</w:t>
            </w:r>
          </w:p>
        </w:tc>
        <w:tc>
          <w:tcPr>
            <w:tcW w:w="1300" w:type="dxa"/>
            <w:vAlign w:val="bottom"/>
            <w:gridSpan w:val="3"/>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571,302</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17,252</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21,660</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11,507</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34,651</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32,013</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Number of shares as adjusted to reflect changes in capital</w:t>
            </w: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79,761,475</w:t>
            </w:r>
          </w:p>
        </w:tc>
        <w:tc>
          <w:tcPr>
            <w:tcW w:w="180" w:type="dxa"/>
            <w:vAlign w:val="bottom"/>
            <w:shd w:val="clear" w:color="auto" w:fill="CCFFCC"/>
          </w:tcPr>
          <w:p>
            <w:pPr>
              <w:spacing w:after="0"/>
              <w:rPr>
                <w:sz w:val="12"/>
                <w:szCs w:val="12"/>
                <w:color w:val="auto"/>
              </w:rPr>
            </w:pP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79,761,475</w:t>
            </w:r>
          </w:p>
        </w:tc>
        <w:tc>
          <w:tcPr>
            <w:tcW w:w="13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79,761,475</w:t>
            </w:r>
          </w:p>
        </w:tc>
        <w:tc>
          <w:tcPr>
            <w:tcW w:w="3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9"/>
              </w:rPr>
              <w:t>79,534,485</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79,440,484</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Net income per common share attributable to Credicorp´s equity holders (2)</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2.88</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4.40</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4.49</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5.90</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7.19</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Diluted net income per share</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2.88</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4.40</w:t>
            </w:r>
          </w:p>
        </w:tc>
        <w:tc>
          <w:tcPr>
            <w:tcW w:w="1620" w:type="dxa"/>
            <w:vAlign w:val="bottom"/>
            <w:gridSpan w:val="3"/>
            <w:shd w:val="clear" w:color="auto" w:fill="CCFFCC"/>
          </w:tcPr>
          <w:p>
            <w:pPr>
              <w:jc w:val="right"/>
              <w:ind w:right="248"/>
              <w:spacing w:after="0" w:line="149" w:lineRule="exact"/>
              <w:rPr>
                <w:sz w:val="20"/>
                <w:szCs w:val="20"/>
                <w:color w:val="auto"/>
              </w:rPr>
            </w:pPr>
            <w:r>
              <w:rPr>
                <w:rFonts w:ascii="Arial" w:cs="Arial" w:eastAsia="Arial" w:hAnsi="Arial"/>
                <w:sz w:val="14"/>
                <w:szCs w:val="14"/>
                <w:color w:val="auto"/>
              </w:rPr>
              <w:t>4.49</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5.90</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7.17</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1.50</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1.95</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12,881,529</w:t>
            </w:r>
          </w:p>
        </w:tc>
        <w:tc>
          <w:tcPr>
            <w:tcW w:w="180" w:type="dxa"/>
            <w:vAlign w:val="bottom"/>
            <w:shd w:val="clear" w:color="auto" w:fill="CCFFCC"/>
          </w:tcPr>
          <w:p>
            <w:pPr>
              <w:spacing w:after="0"/>
              <w:rPr>
                <w:sz w:val="12"/>
                <w:szCs w:val="12"/>
                <w:color w:val="auto"/>
              </w:rPr>
            </w:pP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17,705,898</w:t>
            </w:r>
          </w:p>
        </w:tc>
        <w:tc>
          <w:tcPr>
            <w:tcW w:w="13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20,821,069</w:t>
            </w:r>
          </w:p>
        </w:tc>
        <w:tc>
          <w:tcPr>
            <w:tcW w:w="3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9"/>
              </w:rPr>
              <w:t>22,013,632</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28,413,180</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Total loans (3)</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5,877,361</w:t>
            </w:r>
          </w:p>
        </w:tc>
        <w:tc>
          <w:tcPr>
            <w:tcW w:w="180" w:type="dxa"/>
            <w:vAlign w:val="bottom"/>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8,183,845</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10,456,284</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11,505,319</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14,278,064</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(1)</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(210,586)</w:t>
            </w: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(229,700)</w:t>
            </w:r>
          </w:p>
        </w:tc>
        <w:tc>
          <w:tcPr>
            <w:tcW w:w="1620" w:type="dxa"/>
            <w:vAlign w:val="bottom"/>
            <w:gridSpan w:val="3"/>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(248,063)</w:t>
            </w: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(376,049)</w:t>
            </w:r>
          </w:p>
        </w:tc>
        <w:tc>
          <w:tcPr>
            <w:tcW w:w="130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(448,597)</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8,799,134</w:t>
            </w:r>
          </w:p>
        </w:tc>
        <w:tc>
          <w:tcPr>
            <w:tcW w:w="180" w:type="dxa"/>
            <w:vAlign w:val="bottom"/>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11,299,671</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13,877,028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14,032,179</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18,017,714</w:t>
            </w: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Equity attributable to Credicorp’s equity holders</w:t>
            </w: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1,396,822</w:t>
            </w:r>
          </w:p>
        </w:tc>
        <w:tc>
          <w:tcPr>
            <w:tcW w:w="180" w:type="dxa"/>
            <w:vAlign w:val="bottom"/>
            <w:shd w:val="clear" w:color="auto" w:fill="CCFFCC"/>
          </w:tcPr>
          <w:p>
            <w:pPr>
              <w:spacing w:after="0"/>
              <w:rPr>
                <w:sz w:val="12"/>
                <w:szCs w:val="12"/>
                <w:color w:val="auto"/>
              </w:rPr>
            </w:pPr>
          </w:p>
        </w:tc>
        <w:tc>
          <w:tcPr>
            <w:tcW w:w="122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1,676,009</w:t>
            </w:r>
          </w:p>
        </w:tc>
        <w:tc>
          <w:tcPr>
            <w:tcW w:w="13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1,689,172</w:t>
            </w:r>
          </w:p>
        </w:tc>
        <w:tc>
          <w:tcPr>
            <w:tcW w:w="32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2,316,856</w:t>
            </w:r>
          </w:p>
        </w:tc>
        <w:tc>
          <w:tcPr>
            <w:tcW w:w="13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2,873,749</w:t>
            </w: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136,946</w:t>
            </w: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139,264</w:t>
            </w:r>
          </w:p>
        </w:tc>
        <w:tc>
          <w:tcPr>
            <w:tcW w:w="1620" w:type="dxa"/>
            <w:vAlign w:val="bottom"/>
            <w:gridSpan w:val="3"/>
          </w:tcPr>
          <w:p>
            <w:pPr>
              <w:jc w:val="right"/>
              <w:ind w:right="248"/>
              <w:spacing w:after="0" w:line="149" w:lineRule="exact"/>
              <w:rPr>
                <w:sz w:val="20"/>
                <w:szCs w:val="20"/>
                <w:color w:val="auto"/>
              </w:rPr>
            </w:pPr>
            <w:r>
              <w:rPr>
                <w:rFonts w:ascii="Arial" w:cs="Arial" w:eastAsia="Arial" w:hAnsi="Arial"/>
                <w:sz w:val="14"/>
                <w:szCs w:val="14"/>
                <w:color w:val="auto"/>
              </w:rPr>
              <w:t>106,933</w:t>
            </w:r>
          </w:p>
        </w:tc>
        <w:tc>
          <w:tcPr>
            <w:tcW w:w="3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186,496</w:t>
            </w:r>
          </w:p>
        </w:tc>
        <w:tc>
          <w:tcPr>
            <w:tcW w:w="1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56,502</w:t>
            </w: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Equity</w:t>
            </w:r>
          </w:p>
        </w:tc>
        <w:tc>
          <w:tcPr>
            <w:tcW w:w="32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1,533,768</w:t>
            </w:r>
          </w:p>
        </w:tc>
        <w:tc>
          <w:tcPr>
            <w:tcW w:w="18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1,815,273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1,796,105</w:t>
            </w:r>
          </w:p>
        </w:tc>
        <w:tc>
          <w:tcPr>
            <w:tcW w:w="3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2,503,352</w:t>
            </w:r>
          </w:p>
        </w:tc>
        <w:tc>
          <w:tcPr>
            <w:tcW w:w="1300" w:type="dxa"/>
            <w:vAlign w:val="bottom"/>
            <w:gridSpan w:val="3"/>
            <w:shd w:val="clear" w:color="auto" w:fill="CCFFCC"/>
          </w:tcPr>
          <w:p>
            <w:pPr>
              <w:jc w:val="right"/>
              <w:ind w:right="140"/>
              <w:spacing w:after="0"/>
              <w:rPr>
                <w:sz w:val="20"/>
                <w:szCs w:val="20"/>
                <w:color w:val="auto"/>
              </w:rPr>
            </w:pPr>
            <w:r>
              <w:rPr>
                <w:rFonts w:ascii="Arial" w:cs="Arial" w:eastAsia="Arial" w:hAnsi="Arial"/>
                <w:sz w:val="14"/>
                <w:szCs w:val="14"/>
                <w:color w:val="auto"/>
              </w:rPr>
              <w:t>2,930,251</w:t>
            </w:r>
          </w:p>
        </w:tc>
      </w:tr>
      <w:tr>
        <w:trPr>
          <w:trHeight w:val="60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118"/>
        </w:trPr>
        <w:tc>
          <w:tcPr>
            <w:tcW w:w="2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16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line="14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220"/>
              <w:spacing w:after="0" w:line="130" w:lineRule="exact"/>
              <w:rPr>
                <w:sz w:val="20"/>
                <w:szCs w:val="20"/>
                <w:color w:val="auto"/>
              </w:rPr>
            </w:pPr>
            <w:r>
              <w:rPr>
                <w:rFonts w:ascii="Arial" w:cs="Arial" w:eastAsia="Arial" w:hAnsi="Arial"/>
                <w:sz w:val="14"/>
                <w:szCs w:val="14"/>
                <w:i w:val="1"/>
                <w:iCs w:val="1"/>
                <w:color w:val="auto"/>
                <w:w w:val="95"/>
              </w:rPr>
              <w:t>(U.S. Dollars in</w:t>
            </w:r>
          </w:p>
        </w:tc>
        <w:tc>
          <w:tcPr>
            <w:tcW w:w="120" w:type="dxa"/>
            <w:vAlign w:val="bottom"/>
          </w:tcPr>
          <w:p>
            <w:pPr>
              <w:spacing w:after="0"/>
              <w:rPr>
                <w:sz w:val="11"/>
                <w:szCs w:val="11"/>
                <w:color w:val="auto"/>
              </w:rPr>
            </w:pPr>
          </w:p>
        </w:tc>
        <w:tc>
          <w:tcPr>
            <w:tcW w:w="1120" w:type="dxa"/>
            <w:vAlign w:val="bottom"/>
          </w:tcPr>
          <w:p>
            <w:pPr>
              <w:jc w:val="right"/>
              <w:ind w:right="108"/>
              <w:spacing w:after="0" w:line="130" w:lineRule="exact"/>
              <w:rPr>
                <w:sz w:val="20"/>
                <w:szCs w:val="20"/>
                <w:color w:val="auto"/>
              </w:rPr>
            </w:pPr>
            <w:r>
              <w:rPr>
                <w:rFonts w:ascii="Arial" w:cs="Arial" w:eastAsia="Arial" w:hAnsi="Arial"/>
                <w:sz w:val="14"/>
                <w:szCs w:val="14"/>
                <w:i w:val="1"/>
                <w:iCs w:val="1"/>
                <w:color w:val="auto"/>
                <w:w w:val="80"/>
              </w:rPr>
              <w:t>thousands, except</w:t>
            </w:r>
          </w:p>
        </w:tc>
        <w:tc>
          <w:tcPr>
            <w:tcW w:w="1240" w:type="dxa"/>
            <w:vAlign w:val="bottom"/>
            <w:gridSpan w:val="3"/>
          </w:tcPr>
          <w:p>
            <w:pPr>
              <w:jc w:val="right"/>
              <w:ind w:right="188"/>
              <w:spacing w:after="0" w:line="130" w:lineRule="exact"/>
              <w:rPr>
                <w:sz w:val="20"/>
                <w:szCs w:val="20"/>
                <w:color w:val="auto"/>
              </w:rPr>
            </w:pPr>
            <w:r>
              <w:rPr>
                <w:rFonts w:ascii="Arial" w:cs="Arial" w:eastAsia="Arial" w:hAnsi="Arial"/>
                <w:sz w:val="14"/>
                <w:szCs w:val="14"/>
                <w:i w:val="1"/>
                <w:iCs w:val="1"/>
                <w:color w:val="auto"/>
                <w:w w:val="78"/>
              </w:rPr>
              <w:t>percentages, ratios,</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i w:val="1"/>
                <w:iCs w:val="1"/>
                <w:color w:val="auto"/>
                <w:w w:val="92"/>
              </w:rPr>
              <w:t>and per common share data)</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SELECTED RATIOS</w:t>
            </w:r>
          </w:p>
        </w:tc>
        <w:tc>
          <w:tcPr>
            <w:tcW w:w="1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IFRS: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 (4)</w:t>
            </w:r>
          </w:p>
        </w:tc>
        <w:tc>
          <w:tcPr>
            <w:tcW w:w="116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4.64%</w:t>
            </w:r>
          </w:p>
        </w:tc>
        <w:tc>
          <w:tcPr>
            <w:tcW w:w="1040" w:type="dxa"/>
            <w:vAlign w:val="bottom"/>
            <w:gridSpan w:val="2"/>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5"/>
              </w:rPr>
              <w:t>4.50%</w:t>
            </w:r>
          </w:p>
        </w:tc>
        <w:tc>
          <w:tcPr>
            <w:tcW w:w="1460" w:type="dxa"/>
            <w:vAlign w:val="bottom"/>
            <w:gridSpan w:val="3"/>
            <w:shd w:val="clear" w:color="auto" w:fill="CCFFCC"/>
          </w:tcPr>
          <w:p>
            <w:pPr>
              <w:jc w:val="center"/>
              <w:ind w:left="368"/>
              <w:spacing w:after="0" w:line="149" w:lineRule="exact"/>
              <w:rPr>
                <w:sz w:val="20"/>
                <w:szCs w:val="20"/>
                <w:color w:val="auto"/>
              </w:rPr>
            </w:pPr>
            <w:r>
              <w:rPr>
                <w:rFonts w:ascii="Arial" w:cs="Arial" w:eastAsia="Arial" w:hAnsi="Arial"/>
                <w:sz w:val="14"/>
                <w:szCs w:val="14"/>
                <w:color w:val="auto"/>
                <w:w w:val="95"/>
              </w:rPr>
              <w:t>4.46%</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color w:val="auto"/>
                <w:w w:val="90"/>
              </w:rPr>
              <w:t>4.70%</w:t>
            </w:r>
          </w:p>
        </w:tc>
        <w:tc>
          <w:tcPr>
            <w:tcW w:w="12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0"/>
              </w:rPr>
              <w:t>4.61%</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Return on average total assets (5)</w:t>
            </w:r>
          </w:p>
        </w:tc>
        <w:tc>
          <w:tcPr>
            <w:tcW w:w="116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1.92%</w:t>
            </w:r>
          </w:p>
        </w:tc>
        <w:tc>
          <w:tcPr>
            <w:tcW w:w="1040" w:type="dxa"/>
            <w:vAlign w:val="bottom"/>
            <w:gridSpan w:val="2"/>
          </w:tcPr>
          <w:p>
            <w:pPr>
              <w:jc w:val="center"/>
              <w:ind w:left="388"/>
              <w:spacing w:after="0" w:line="149" w:lineRule="exact"/>
              <w:rPr>
                <w:sz w:val="20"/>
                <w:szCs w:val="20"/>
                <w:color w:val="auto"/>
              </w:rPr>
            </w:pPr>
            <w:r>
              <w:rPr>
                <w:rFonts w:ascii="Arial" w:cs="Arial" w:eastAsia="Arial" w:hAnsi="Arial"/>
                <w:sz w:val="14"/>
                <w:szCs w:val="14"/>
                <w:color w:val="auto"/>
                <w:w w:val="95"/>
              </w:rPr>
              <w:t>2.29%</w:t>
            </w:r>
          </w:p>
        </w:tc>
        <w:tc>
          <w:tcPr>
            <w:tcW w:w="1460" w:type="dxa"/>
            <w:vAlign w:val="bottom"/>
            <w:gridSpan w:val="3"/>
          </w:tcPr>
          <w:p>
            <w:pPr>
              <w:jc w:val="center"/>
              <w:ind w:left="368"/>
              <w:spacing w:after="0" w:line="149" w:lineRule="exact"/>
              <w:rPr>
                <w:sz w:val="20"/>
                <w:szCs w:val="20"/>
                <w:color w:val="auto"/>
              </w:rPr>
            </w:pPr>
            <w:r>
              <w:rPr>
                <w:rFonts w:ascii="Arial" w:cs="Arial" w:eastAsia="Arial" w:hAnsi="Arial"/>
                <w:sz w:val="14"/>
                <w:szCs w:val="14"/>
                <w:color w:val="auto"/>
                <w:w w:val="95"/>
              </w:rPr>
              <w:t>1.86%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2.19%</w:t>
            </w:r>
          </w:p>
        </w:tc>
        <w:tc>
          <w:tcPr>
            <w:tcW w:w="12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0"/>
              </w:rPr>
              <w:t>2.27%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 attributable to Credicorp’s equity holders (6)</w:t>
            </w:r>
          </w:p>
        </w:tc>
        <w:tc>
          <w:tcPr>
            <w:tcW w:w="11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2"/>
              </w:rPr>
              <w:t>18.44%</w:t>
            </w:r>
          </w:p>
        </w:tc>
        <w:tc>
          <w:tcPr>
            <w:tcW w:w="1040" w:type="dxa"/>
            <w:vAlign w:val="bottom"/>
            <w:gridSpan w:val="2"/>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6"/>
              </w:rPr>
              <w:t>22.67%</w:t>
            </w:r>
          </w:p>
        </w:tc>
        <w:tc>
          <w:tcPr>
            <w:tcW w:w="1460" w:type="dxa"/>
            <w:vAlign w:val="bottom"/>
            <w:gridSpan w:val="3"/>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2"/>
              </w:rPr>
              <w:t>20.21%</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color w:val="auto"/>
                <w:w w:val="92"/>
              </w:rPr>
              <w:t>23.72%</w:t>
            </w:r>
          </w:p>
        </w:tc>
        <w:tc>
          <w:tcPr>
            <w:tcW w:w="12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2"/>
              </w:rPr>
              <w:t>21.25%</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Operating expenses as a percentage of net interest and non-interest income (7)</w:t>
            </w:r>
          </w:p>
        </w:tc>
        <w:tc>
          <w:tcPr>
            <w:tcW w:w="11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50.26%</w:t>
            </w:r>
          </w:p>
        </w:tc>
        <w:tc>
          <w:tcPr>
            <w:tcW w:w="1040" w:type="dxa"/>
            <w:vAlign w:val="bottom"/>
            <w:gridSpan w:val="2"/>
          </w:tcPr>
          <w:p>
            <w:pPr>
              <w:jc w:val="center"/>
              <w:ind w:left="388"/>
              <w:spacing w:after="0" w:line="149" w:lineRule="exact"/>
              <w:rPr>
                <w:sz w:val="20"/>
                <w:szCs w:val="20"/>
                <w:color w:val="auto"/>
              </w:rPr>
            </w:pPr>
            <w:r>
              <w:rPr>
                <w:rFonts w:ascii="Arial" w:cs="Arial" w:eastAsia="Arial" w:hAnsi="Arial"/>
                <w:sz w:val="14"/>
                <w:szCs w:val="14"/>
                <w:color w:val="auto"/>
                <w:w w:val="96"/>
              </w:rPr>
              <w:t>50.62%</w:t>
            </w:r>
          </w:p>
        </w:tc>
        <w:tc>
          <w:tcPr>
            <w:tcW w:w="1460" w:type="dxa"/>
            <w:vAlign w:val="bottom"/>
            <w:gridSpan w:val="3"/>
          </w:tcPr>
          <w:p>
            <w:pPr>
              <w:jc w:val="center"/>
              <w:ind w:left="388"/>
              <w:spacing w:after="0" w:line="149" w:lineRule="exact"/>
              <w:rPr>
                <w:sz w:val="20"/>
                <w:szCs w:val="20"/>
                <w:color w:val="auto"/>
              </w:rPr>
            </w:pPr>
            <w:r>
              <w:rPr>
                <w:rFonts w:ascii="Arial" w:cs="Arial" w:eastAsia="Arial" w:hAnsi="Arial"/>
                <w:sz w:val="14"/>
                <w:szCs w:val="14"/>
                <w:color w:val="auto"/>
                <w:w w:val="92"/>
              </w:rPr>
              <w:t>40.27%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46.18%</w:t>
            </w:r>
          </w:p>
        </w:tc>
        <w:tc>
          <w:tcPr>
            <w:tcW w:w="12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2"/>
              </w:rPr>
              <w:t>45.75%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 as a percentage of average assets</w:t>
            </w:r>
          </w:p>
        </w:tc>
        <w:tc>
          <w:tcPr>
            <w:tcW w:w="116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4.89%</w:t>
            </w:r>
          </w:p>
        </w:tc>
        <w:tc>
          <w:tcPr>
            <w:tcW w:w="1040" w:type="dxa"/>
            <w:vAlign w:val="bottom"/>
            <w:gridSpan w:val="2"/>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5"/>
              </w:rPr>
              <w:t>4.88%</w:t>
            </w:r>
          </w:p>
        </w:tc>
        <w:tc>
          <w:tcPr>
            <w:tcW w:w="1460" w:type="dxa"/>
            <w:vAlign w:val="bottom"/>
            <w:gridSpan w:val="3"/>
            <w:shd w:val="clear" w:color="auto" w:fill="CCFFCC"/>
          </w:tcPr>
          <w:p>
            <w:pPr>
              <w:jc w:val="center"/>
              <w:ind w:left="368"/>
              <w:spacing w:after="0" w:line="149" w:lineRule="exact"/>
              <w:rPr>
                <w:sz w:val="20"/>
                <w:szCs w:val="20"/>
                <w:color w:val="auto"/>
              </w:rPr>
            </w:pPr>
            <w:r>
              <w:rPr>
                <w:rFonts w:ascii="Arial" w:cs="Arial" w:eastAsia="Arial" w:hAnsi="Arial"/>
                <w:sz w:val="14"/>
                <w:szCs w:val="14"/>
                <w:color w:val="auto"/>
                <w:w w:val="95"/>
              </w:rPr>
              <w:t>4.78%</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color w:val="auto"/>
                <w:w w:val="90"/>
              </w:rPr>
              <w:t>4.47%</w:t>
            </w:r>
          </w:p>
        </w:tc>
        <w:tc>
          <w:tcPr>
            <w:tcW w:w="12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0"/>
              </w:rPr>
              <w:t>4.31%</w:t>
            </w:r>
          </w:p>
        </w:tc>
        <w:tc>
          <w:tcPr>
            <w:tcW w:w="100" w:type="dxa"/>
            <w:vAlign w:val="bottom"/>
            <w:shd w:val="clear" w:color="auto" w:fill="CCFFCC"/>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5140" w:type="dxa"/>
            <w:vAlign w:val="bottom"/>
          </w:tcPr>
          <w:p>
            <w:pPr>
              <w:spacing w:after="0" w:line="130" w:lineRule="exact"/>
              <w:rPr>
                <w:sz w:val="20"/>
                <w:szCs w:val="20"/>
                <w:color w:val="auto"/>
              </w:rPr>
            </w:pPr>
            <w:r>
              <w:rPr>
                <w:rFonts w:ascii="Arial" w:cs="Arial" w:eastAsia="Arial" w:hAnsi="Arial"/>
                <w:sz w:val="14"/>
                <w:szCs w:val="14"/>
                <w:color w:val="auto"/>
                <w:w w:val="99"/>
              </w:rPr>
              <w:t>Equity attributable to Credicorp’s equity holders as a percentage of period end total</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160" w:type="dxa"/>
            <w:vAlign w:val="bottom"/>
            <w:gridSpan w:val="2"/>
          </w:tcPr>
          <w:p>
            <w:pPr>
              <w:spacing w:after="0"/>
              <w:rPr>
                <w:sz w:val="20"/>
                <w:szCs w:val="20"/>
                <w:color w:val="auto"/>
              </w:rPr>
            </w:pPr>
            <w:r>
              <w:rPr>
                <w:rFonts w:ascii="Arial" w:cs="Arial" w:eastAsia="Arial" w:hAnsi="Arial"/>
                <w:sz w:val="14"/>
                <w:szCs w:val="14"/>
                <w:color w:val="auto"/>
              </w:rPr>
              <w:t>assets</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w w:val="92"/>
              </w:rPr>
              <w:t>10.84%</w:t>
            </w:r>
          </w:p>
        </w:tc>
        <w:tc>
          <w:tcPr>
            <w:tcW w:w="1040" w:type="dxa"/>
            <w:vAlign w:val="bottom"/>
            <w:gridSpan w:val="2"/>
          </w:tcPr>
          <w:p>
            <w:pPr>
              <w:jc w:val="center"/>
              <w:ind w:left="388"/>
              <w:spacing w:after="0"/>
              <w:rPr>
                <w:sz w:val="20"/>
                <w:szCs w:val="20"/>
                <w:color w:val="auto"/>
              </w:rPr>
            </w:pPr>
            <w:r>
              <w:rPr>
                <w:rFonts w:ascii="Arial" w:cs="Arial" w:eastAsia="Arial" w:hAnsi="Arial"/>
                <w:sz w:val="14"/>
                <w:szCs w:val="14"/>
                <w:color w:val="auto"/>
                <w:w w:val="95"/>
              </w:rPr>
              <w:t>9.47%</w:t>
            </w:r>
          </w:p>
        </w:tc>
        <w:tc>
          <w:tcPr>
            <w:tcW w:w="1460" w:type="dxa"/>
            <w:vAlign w:val="bottom"/>
            <w:gridSpan w:val="3"/>
          </w:tcPr>
          <w:p>
            <w:pPr>
              <w:jc w:val="center"/>
              <w:ind w:left="388"/>
              <w:spacing w:after="0"/>
              <w:rPr>
                <w:sz w:val="20"/>
                <w:szCs w:val="20"/>
                <w:color w:val="auto"/>
              </w:rPr>
            </w:pPr>
            <w:r>
              <w:rPr>
                <w:rFonts w:ascii="Arial" w:cs="Arial" w:eastAsia="Arial" w:hAnsi="Arial"/>
                <w:sz w:val="14"/>
                <w:szCs w:val="14"/>
                <w:color w:val="auto"/>
                <w:w w:val="90"/>
              </w:rPr>
              <w:t>8.11%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92"/>
              </w:rPr>
              <w:t>10.52%</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2"/>
              </w:rPr>
              <w:t>10.11%</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Regulatory capital as a percentage of risk weighted assets (8)</w:t>
            </w:r>
          </w:p>
        </w:tc>
        <w:tc>
          <w:tcPr>
            <w:tcW w:w="11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2"/>
              </w:rPr>
              <w:t>11.98%</w:t>
            </w:r>
          </w:p>
        </w:tc>
        <w:tc>
          <w:tcPr>
            <w:tcW w:w="1040" w:type="dxa"/>
            <w:vAlign w:val="bottom"/>
            <w:gridSpan w:val="2"/>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6"/>
              </w:rPr>
              <w:t>12.80%</w:t>
            </w:r>
          </w:p>
        </w:tc>
        <w:tc>
          <w:tcPr>
            <w:tcW w:w="1460" w:type="dxa"/>
            <w:vAlign w:val="bottom"/>
            <w:gridSpan w:val="3"/>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2"/>
              </w:rPr>
              <w:t>12.33%</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color w:val="auto"/>
                <w:w w:val="92"/>
              </w:rPr>
              <w:t>14.32%</w:t>
            </w:r>
          </w:p>
        </w:tc>
        <w:tc>
          <w:tcPr>
            <w:tcW w:w="12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2"/>
              </w:rPr>
              <w:t>12.51%</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Total past-due loan amounts as a percentage of total loans (9)</w:t>
            </w:r>
          </w:p>
        </w:tc>
        <w:tc>
          <w:tcPr>
            <w:tcW w:w="116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1.31%</w:t>
            </w:r>
          </w:p>
        </w:tc>
        <w:tc>
          <w:tcPr>
            <w:tcW w:w="1040" w:type="dxa"/>
            <w:vAlign w:val="bottom"/>
            <w:gridSpan w:val="2"/>
          </w:tcPr>
          <w:p>
            <w:pPr>
              <w:jc w:val="center"/>
              <w:ind w:left="388"/>
              <w:spacing w:after="0" w:line="149" w:lineRule="exact"/>
              <w:rPr>
                <w:sz w:val="20"/>
                <w:szCs w:val="20"/>
                <w:color w:val="auto"/>
              </w:rPr>
            </w:pPr>
            <w:r>
              <w:rPr>
                <w:rFonts w:ascii="Arial" w:cs="Arial" w:eastAsia="Arial" w:hAnsi="Arial"/>
                <w:sz w:val="14"/>
                <w:szCs w:val="14"/>
                <w:color w:val="auto"/>
                <w:w w:val="95"/>
              </w:rPr>
              <w:t>0.75%</w:t>
            </w:r>
          </w:p>
        </w:tc>
        <w:tc>
          <w:tcPr>
            <w:tcW w:w="1460" w:type="dxa"/>
            <w:vAlign w:val="bottom"/>
            <w:gridSpan w:val="3"/>
          </w:tcPr>
          <w:p>
            <w:pPr>
              <w:jc w:val="center"/>
              <w:ind w:left="368"/>
              <w:spacing w:after="0" w:line="149" w:lineRule="exact"/>
              <w:rPr>
                <w:sz w:val="20"/>
                <w:szCs w:val="20"/>
                <w:color w:val="auto"/>
              </w:rPr>
            </w:pPr>
            <w:r>
              <w:rPr>
                <w:rFonts w:ascii="Arial" w:cs="Arial" w:eastAsia="Arial" w:hAnsi="Arial"/>
                <w:sz w:val="14"/>
                <w:szCs w:val="14"/>
                <w:color w:val="auto"/>
                <w:w w:val="95"/>
              </w:rPr>
              <w:t>0.79%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1.60%</w:t>
            </w:r>
          </w:p>
        </w:tc>
        <w:tc>
          <w:tcPr>
            <w:tcW w:w="12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0"/>
              </w:rPr>
              <w:t>1.47%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16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3.24%</w:t>
            </w:r>
          </w:p>
        </w:tc>
        <w:tc>
          <w:tcPr>
            <w:tcW w:w="1040" w:type="dxa"/>
            <w:vAlign w:val="bottom"/>
            <w:gridSpan w:val="2"/>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5"/>
              </w:rPr>
              <w:t>2.58%</w:t>
            </w:r>
          </w:p>
        </w:tc>
        <w:tc>
          <w:tcPr>
            <w:tcW w:w="1460" w:type="dxa"/>
            <w:vAlign w:val="bottom"/>
            <w:gridSpan w:val="3"/>
            <w:shd w:val="clear" w:color="auto" w:fill="CCFFCC"/>
          </w:tcPr>
          <w:p>
            <w:pPr>
              <w:jc w:val="center"/>
              <w:ind w:left="368"/>
              <w:spacing w:after="0" w:line="149" w:lineRule="exact"/>
              <w:rPr>
                <w:sz w:val="20"/>
                <w:szCs w:val="20"/>
                <w:color w:val="auto"/>
              </w:rPr>
            </w:pPr>
            <w:r>
              <w:rPr>
                <w:rFonts w:ascii="Arial" w:cs="Arial" w:eastAsia="Arial" w:hAnsi="Arial"/>
                <w:sz w:val="14"/>
                <w:szCs w:val="14"/>
                <w:color w:val="auto"/>
                <w:w w:val="95"/>
              </w:rPr>
              <w:t>2.15%</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color w:val="auto"/>
                <w:w w:val="90"/>
              </w:rPr>
              <w:t>3.08%</w:t>
            </w:r>
          </w:p>
        </w:tc>
        <w:tc>
          <w:tcPr>
            <w:tcW w:w="12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0"/>
              </w:rPr>
              <w:t>2.91%</w:t>
            </w:r>
          </w:p>
        </w:tc>
        <w:tc>
          <w:tcPr>
            <w:tcW w:w="100" w:type="dxa"/>
            <w:vAlign w:val="bottom"/>
            <w:shd w:val="clear" w:color="auto" w:fill="CCFFCC"/>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5140" w:type="dxa"/>
            <w:vAlign w:val="bottom"/>
          </w:tcPr>
          <w:p>
            <w:pPr>
              <w:spacing w:after="0" w:line="130" w:lineRule="exact"/>
              <w:rPr>
                <w:sz w:val="20"/>
                <w:szCs w:val="20"/>
                <w:color w:val="auto"/>
              </w:rPr>
            </w:pPr>
            <w:r>
              <w:rPr>
                <w:rFonts w:ascii="Arial" w:cs="Arial" w:eastAsia="Arial" w:hAnsi="Arial"/>
                <w:sz w:val="14"/>
                <w:szCs w:val="14"/>
                <w:color w:val="auto"/>
                <w:w w:val="98"/>
              </w:rPr>
              <w:t>Reserves for loan losses as a percentage of total loans and other contingent credits</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160" w:type="dxa"/>
            <w:vAlign w:val="bottom"/>
            <w:gridSpan w:val="2"/>
          </w:tcPr>
          <w:p>
            <w:pPr>
              <w:spacing w:after="0"/>
              <w:rPr>
                <w:sz w:val="20"/>
                <w:szCs w:val="20"/>
                <w:color w:val="auto"/>
              </w:rPr>
            </w:pPr>
            <w:r>
              <w:rPr>
                <w:rFonts w:ascii="Arial" w:cs="Arial" w:eastAsia="Arial" w:hAnsi="Arial"/>
                <w:sz w:val="14"/>
                <w:szCs w:val="14"/>
                <w:color w:val="auto"/>
              </w:rPr>
              <w:t>(10)</w:t>
            </w:r>
          </w:p>
        </w:tc>
        <w:tc>
          <w:tcPr>
            <w:tcW w:w="1160" w:type="dxa"/>
            <w:vAlign w:val="bottom"/>
          </w:tcPr>
          <w:p>
            <w:pPr>
              <w:jc w:val="center"/>
              <w:ind w:left="28"/>
              <w:spacing w:after="0"/>
              <w:rPr>
                <w:sz w:val="20"/>
                <w:szCs w:val="20"/>
                <w:color w:val="auto"/>
              </w:rPr>
            </w:pPr>
            <w:r>
              <w:rPr>
                <w:rFonts w:ascii="Arial" w:cs="Arial" w:eastAsia="Arial" w:hAnsi="Arial"/>
                <w:sz w:val="14"/>
                <w:szCs w:val="14"/>
                <w:color w:val="auto"/>
                <w:w w:val="95"/>
              </w:rPr>
              <w:t>2.59%</w:t>
            </w:r>
          </w:p>
        </w:tc>
        <w:tc>
          <w:tcPr>
            <w:tcW w:w="1040" w:type="dxa"/>
            <w:vAlign w:val="bottom"/>
            <w:gridSpan w:val="2"/>
          </w:tcPr>
          <w:p>
            <w:pPr>
              <w:jc w:val="center"/>
              <w:ind w:left="388"/>
              <w:spacing w:after="0"/>
              <w:rPr>
                <w:sz w:val="20"/>
                <w:szCs w:val="20"/>
                <w:color w:val="auto"/>
              </w:rPr>
            </w:pPr>
            <w:r>
              <w:rPr>
                <w:rFonts w:ascii="Arial" w:cs="Arial" w:eastAsia="Arial" w:hAnsi="Arial"/>
                <w:sz w:val="14"/>
                <w:szCs w:val="14"/>
                <w:color w:val="auto"/>
                <w:w w:val="95"/>
              </w:rPr>
              <w:t>2.17%</w:t>
            </w:r>
          </w:p>
        </w:tc>
        <w:tc>
          <w:tcPr>
            <w:tcW w:w="1460" w:type="dxa"/>
            <w:vAlign w:val="bottom"/>
            <w:gridSpan w:val="3"/>
          </w:tcPr>
          <w:p>
            <w:pPr>
              <w:jc w:val="center"/>
              <w:ind w:left="368"/>
              <w:spacing w:after="0"/>
              <w:rPr>
                <w:sz w:val="20"/>
                <w:szCs w:val="20"/>
                <w:color w:val="auto"/>
              </w:rPr>
            </w:pPr>
            <w:r>
              <w:rPr>
                <w:rFonts w:ascii="Arial" w:cs="Arial" w:eastAsia="Arial" w:hAnsi="Arial"/>
                <w:sz w:val="14"/>
                <w:szCs w:val="14"/>
                <w:color w:val="auto"/>
                <w:w w:val="95"/>
              </w:rPr>
              <w:t>1.84%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90"/>
              </w:rPr>
              <w:t>2.53%</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2.39%</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past-due loans (11)</w:t>
            </w:r>
          </w:p>
        </w:tc>
        <w:tc>
          <w:tcPr>
            <w:tcW w:w="11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247.85%</w:t>
            </w:r>
          </w:p>
        </w:tc>
        <w:tc>
          <w:tcPr>
            <w:tcW w:w="1040" w:type="dxa"/>
            <w:vAlign w:val="bottom"/>
            <w:gridSpan w:val="2"/>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0"/>
              </w:rPr>
              <w:t>343.68%</w:t>
            </w:r>
          </w:p>
        </w:tc>
        <w:tc>
          <w:tcPr>
            <w:tcW w:w="1460" w:type="dxa"/>
            <w:vAlign w:val="bottom"/>
            <w:gridSpan w:val="3"/>
            <w:shd w:val="clear" w:color="auto" w:fill="CCFFCC"/>
          </w:tcPr>
          <w:p>
            <w:pPr>
              <w:jc w:val="center"/>
              <w:ind w:left="388"/>
              <w:spacing w:after="0" w:line="149" w:lineRule="exact"/>
              <w:rPr>
                <w:sz w:val="20"/>
                <w:szCs w:val="20"/>
                <w:color w:val="auto"/>
              </w:rPr>
            </w:pPr>
            <w:r>
              <w:rPr>
                <w:rFonts w:ascii="Arial" w:cs="Arial" w:eastAsia="Arial" w:hAnsi="Arial"/>
                <w:sz w:val="14"/>
                <w:szCs w:val="14"/>
                <w:color w:val="auto"/>
                <w:w w:val="94"/>
              </w:rPr>
              <w:t>270.72%</w:t>
            </w: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color w:val="auto"/>
                <w:w w:val="94"/>
              </w:rPr>
              <w:t>191.99%</w:t>
            </w:r>
          </w:p>
        </w:tc>
        <w:tc>
          <w:tcPr>
            <w:tcW w:w="12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198.04%</w:t>
            </w:r>
          </w:p>
        </w:tc>
        <w:tc>
          <w:tcPr>
            <w:tcW w:w="100" w:type="dxa"/>
            <w:vAlign w:val="bottom"/>
            <w:shd w:val="clear" w:color="auto" w:fill="CCFFCC"/>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Reserves for loan losses as a percentage of substandard loans (12)</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w w:val="92"/>
              </w:rPr>
              <w:t>78.24%</w:t>
            </w:r>
          </w:p>
        </w:tc>
        <w:tc>
          <w:tcPr>
            <w:tcW w:w="1040" w:type="dxa"/>
            <w:vAlign w:val="bottom"/>
            <w:gridSpan w:val="2"/>
          </w:tcPr>
          <w:p>
            <w:pPr>
              <w:jc w:val="center"/>
              <w:ind w:left="388"/>
              <w:spacing w:after="0"/>
              <w:rPr>
                <w:sz w:val="20"/>
                <w:szCs w:val="20"/>
                <w:color w:val="auto"/>
              </w:rPr>
            </w:pPr>
            <w:r>
              <w:rPr>
                <w:rFonts w:ascii="Arial" w:cs="Arial" w:eastAsia="Arial" w:hAnsi="Arial"/>
                <w:sz w:val="14"/>
                <w:szCs w:val="14"/>
                <w:color w:val="auto"/>
                <w:w w:val="90"/>
              </w:rPr>
              <w:t>100.45%</w:t>
            </w:r>
          </w:p>
        </w:tc>
        <w:tc>
          <w:tcPr>
            <w:tcW w:w="1460" w:type="dxa"/>
            <w:vAlign w:val="bottom"/>
            <w:gridSpan w:val="3"/>
          </w:tcPr>
          <w:p>
            <w:pPr>
              <w:jc w:val="center"/>
              <w:ind w:left="368"/>
              <w:spacing w:after="0"/>
              <w:rPr>
                <w:sz w:val="20"/>
                <w:szCs w:val="20"/>
                <w:color w:val="auto"/>
              </w:rPr>
            </w:pPr>
            <w:r>
              <w:rPr>
                <w:rFonts w:ascii="Arial" w:cs="Arial" w:eastAsia="Arial" w:hAnsi="Arial"/>
                <w:sz w:val="14"/>
                <w:szCs w:val="14"/>
                <w:color w:val="auto"/>
                <w:w w:val="90"/>
              </w:rPr>
              <w:t>112.26%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92"/>
              </w:rPr>
              <w:t>99.45%</w:t>
            </w:r>
          </w:p>
        </w:tc>
        <w:tc>
          <w:tcPr>
            <w:tcW w:w="1260" w:type="dxa"/>
            <w:vAlign w:val="bottom"/>
            <w:gridSpan w:val="2"/>
          </w:tcPr>
          <w:p>
            <w:pPr>
              <w:jc w:val="center"/>
              <w:ind w:left="148"/>
              <w:spacing w:after="0"/>
              <w:rPr>
                <w:sz w:val="20"/>
                <w:szCs w:val="20"/>
                <w:color w:val="auto"/>
              </w:rPr>
            </w:pPr>
            <w:r>
              <w:rPr>
                <w:rFonts w:ascii="Arial" w:cs="Arial" w:eastAsia="Arial" w:hAnsi="Arial"/>
                <w:sz w:val="14"/>
                <w:szCs w:val="14"/>
                <w:color w:val="auto"/>
                <w:w w:val="94"/>
              </w:rPr>
              <w:t>103.80%</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write-off recoveries.</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have 100 million authorized common shares. As of December 31, 2010, we had issued 94.4 million common shares, of which 14.6 million were held by ASHC. The per common share data given considers net outstanding shares (common shares net of shares held by BCP, ASHC and PPS) of 79.7 million in 2002 to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Notes 16 and 25 to the Credicorp Consolidated Financial Statements.</w:t>
      </w:r>
    </w:p>
    <w:p>
      <w:pPr>
        <w:spacing w:after="0" w:line="20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Net of unearned interest, but prior to reserve for loan losses. In addition to loans outstanding, we had contingent loans of US$1,455.4 million, US$1,564.5 million, US$1,755.9 million, US$2,528.1 million and US$3,135.2 million, as of December 31, 2006, 2007, 2008, 2009 and 2010,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208"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our equity holders, computed as the average of period-beginning and period-ending balances, and calculated on a monthly basis.</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Regulatory capital calculated in accordance with guidelines by the Basel Committee on Banking Regulations and Supervisory Practices of International Settlements (or the BIS I Accord) as adopted by the SBS.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5. Operating and Financial Review and Prospects—(B) Liquidity and Capital Resources—Regulatory Capital and Capital Adequacy Ratios.”</w:t>
      </w:r>
    </w:p>
    <w:p>
      <w:pPr>
        <w:spacing w:after="0" w:line="208" w:lineRule="exact"/>
        <w:rPr>
          <w:rFonts w:ascii="Arial" w:cs="Arial" w:eastAsia="Arial" w:hAnsi="Arial"/>
          <w:sz w:val="18"/>
          <w:szCs w:val="18"/>
          <w:color w:val="auto"/>
        </w:rPr>
      </w:pPr>
    </w:p>
    <w:p>
      <w:pPr>
        <w:ind w:left="500" w:right="160" w:hanging="492"/>
        <w:spacing w:after="0" w:line="25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Depending on the type of loan, BCP considers loans past due for corporate, large business and medium business loans after 15 days; for small and micro business loans after 30 days; and for consumer, mortgage and leasing loans after 90 days. ASB considers past due all overdue loans except for consumer loans, which are considered past due when the scheduled principal and/or interest payments are overdue for more than 90 days. For IFRS 7 disclosure requirements on past-due loans,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29.1 to the Credicorp Consolidated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Information—(iii) Loan Portfolio—Classification of the Loan Portfolio Based on the Borrower’s Payment Performance.”</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8" w:name="page9"/>
    <w:bookmarkEnd w:id="8"/>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Other contingent credits primarily consist of guarantees, stand-by letters and letters of credit.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19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past-due loans, with no reduction for collateral securing such loans. Reserves for loan and contingent credit losses include reserves with respect to total loans and other credits.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Reserves for loan and contingent credit losses as a percentage of loans classified in categories C, D or 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(B) Business Overview—(12) Selected Statistical Information—(iii) Loan Portfolio—Classification of Loan Portfolio.”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Rates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 December 31,</w:t>
            </w: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5"/>
              </w:rPr>
              <w:t>High (1)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Low (1)</w:t>
            </w:r>
          </w:p>
        </w:tc>
        <w:tc>
          <w:tcPr>
            <w:tcW w:w="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(2)</w:t>
            </w:r>
          </w:p>
        </w:tc>
        <w:tc>
          <w:tcPr>
            <w:tcW w:w="14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0"/>
              </w:rPr>
              <w:t>Period-end (3)</w:t>
            </w:r>
          </w:p>
        </w:tc>
      </w:tr>
      <w:tr>
        <w:trPr>
          <w:trHeight w:val="27"/>
        </w:trPr>
        <w:tc>
          <w:tcPr>
            <w:tcW w:w="4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82"/>
              </w:rPr>
              <w:t>(Nominal Nuevos</w:t>
            </w:r>
          </w:p>
        </w:tc>
        <w:tc>
          <w:tcPr>
            <w:tcW w:w="25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i w:val="1"/>
                <w:iCs w:val="1"/>
                <w:color w:val="auto"/>
              </w:rPr>
              <w:t>Soles per U.S. Dollar)</w:t>
            </w:r>
          </w:p>
        </w:tc>
        <w:tc>
          <w:tcPr>
            <w:tcW w:w="80" w:type="dxa"/>
            <w:vAlign w:val="bottom"/>
          </w:tcPr>
          <w:p>
            <w:pPr>
              <w:spacing w:after="0"/>
              <w:rPr>
                <w:sz w:val="19"/>
                <w:szCs w:val="19"/>
                <w:color w:val="auto"/>
              </w:rPr>
            </w:pPr>
          </w:p>
        </w:tc>
      </w:tr>
      <w:tr>
        <w:trPr>
          <w:trHeight w:val="216"/>
        </w:trPr>
        <w:tc>
          <w:tcPr>
            <w:tcW w:w="4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2006</w:t>
            </w:r>
          </w:p>
        </w:tc>
        <w:tc>
          <w:tcPr>
            <w:tcW w:w="98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8"/>
              </w:rPr>
              <w:t>3.455</w:t>
            </w:r>
          </w:p>
        </w:tc>
        <w:tc>
          <w:tcPr>
            <w:tcW w:w="1260" w:type="dxa"/>
            <w:vAlign w:val="bottom"/>
            <w:gridSpan w:val="3"/>
            <w:shd w:val="clear" w:color="auto" w:fill="CCFFCC"/>
          </w:tcPr>
          <w:p>
            <w:pPr>
              <w:jc w:val="center"/>
              <w:ind w:left="250"/>
              <w:spacing w:after="0"/>
              <w:rPr>
                <w:sz w:val="20"/>
                <w:szCs w:val="20"/>
                <w:color w:val="auto"/>
              </w:rPr>
            </w:pPr>
            <w:r>
              <w:rPr>
                <w:rFonts w:ascii="Arial" w:cs="Arial" w:eastAsia="Arial" w:hAnsi="Arial"/>
                <w:sz w:val="18"/>
                <w:szCs w:val="18"/>
                <w:color w:val="auto"/>
                <w:w w:val="88"/>
              </w:rPr>
              <w:t>3.195</w:t>
            </w:r>
          </w:p>
        </w:tc>
        <w:tc>
          <w:tcPr>
            <w:tcW w:w="11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3.274</w:t>
            </w:r>
          </w:p>
        </w:tc>
        <w:tc>
          <w:tcPr>
            <w:tcW w:w="13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3.195</w:t>
            </w:r>
          </w:p>
        </w:tc>
        <w:tc>
          <w:tcPr>
            <w:tcW w:w="80" w:type="dxa"/>
            <w:vAlign w:val="bottom"/>
            <w:shd w:val="clear" w:color="auto" w:fill="CCFFCC"/>
          </w:tcPr>
          <w:p>
            <w:pPr>
              <w:spacing w:after="0"/>
              <w:rPr>
                <w:sz w:val="18"/>
                <w:szCs w:val="18"/>
                <w:color w:val="auto"/>
              </w:rPr>
            </w:pPr>
          </w:p>
        </w:tc>
      </w:tr>
      <w:tr>
        <w:trPr>
          <w:trHeight w:val="216"/>
        </w:trPr>
        <w:tc>
          <w:tcPr>
            <w:tcW w:w="42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3.197</w:t>
            </w:r>
          </w:p>
        </w:tc>
        <w:tc>
          <w:tcPr>
            <w:tcW w:w="126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2.998</w:t>
            </w:r>
          </w:p>
        </w:tc>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3.125</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2.998</w:t>
            </w:r>
          </w:p>
        </w:tc>
        <w:tc>
          <w:tcPr>
            <w:tcW w:w="80" w:type="dxa"/>
            <w:vAlign w:val="bottom"/>
          </w:tcPr>
          <w:p>
            <w:pPr>
              <w:spacing w:after="0"/>
              <w:rPr>
                <w:sz w:val="18"/>
                <w:szCs w:val="18"/>
                <w:color w:val="auto"/>
              </w:rPr>
            </w:pPr>
          </w:p>
        </w:tc>
      </w:tr>
      <w:tr>
        <w:trPr>
          <w:trHeight w:val="216"/>
        </w:trPr>
        <w:tc>
          <w:tcPr>
            <w:tcW w:w="4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2008</w:t>
            </w:r>
          </w:p>
        </w:tc>
        <w:tc>
          <w:tcPr>
            <w:tcW w:w="98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8"/>
              </w:rPr>
              <w:t>3.135</w:t>
            </w:r>
          </w:p>
        </w:tc>
        <w:tc>
          <w:tcPr>
            <w:tcW w:w="1260" w:type="dxa"/>
            <w:vAlign w:val="bottom"/>
            <w:gridSpan w:val="3"/>
            <w:shd w:val="clear" w:color="auto" w:fill="CCFFCC"/>
          </w:tcPr>
          <w:p>
            <w:pPr>
              <w:jc w:val="center"/>
              <w:ind w:left="250"/>
              <w:spacing w:after="0"/>
              <w:rPr>
                <w:sz w:val="20"/>
                <w:szCs w:val="20"/>
                <w:color w:val="auto"/>
              </w:rPr>
            </w:pPr>
            <w:r>
              <w:rPr>
                <w:rFonts w:ascii="Arial" w:cs="Arial" w:eastAsia="Arial" w:hAnsi="Arial"/>
                <w:sz w:val="18"/>
                <w:szCs w:val="18"/>
                <w:color w:val="auto"/>
                <w:w w:val="88"/>
              </w:rPr>
              <w:t>2.751</w:t>
            </w:r>
          </w:p>
        </w:tc>
        <w:tc>
          <w:tcPr>
            <w:tcW w:w="11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2.939</w:t>
            </w:r>
          </w:p>
        </w:tc>
        <w:tc>
          <w:tcPr>
            <w:tcW w:w="13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3.135</w:t>
            </w:r>
          </w:p>
        </w:tc>
        <w:tc>
          <w:tcPr>
            <w:tcW w:w="80" w:type="dxa"/>
            <w:vAlign w:val="bottom"/>
            <w:shd w:val="clear" w:color="auto" w:fill="CCFFCC"/>
          </w:tcPr>
          <w:p>
            <w:pPr>
              <w:spacing w:after="0"/>
              <w:rPr>
                <w:sz w:val="18"/>
                <w:szCs w:val="18"/>
                <w:color w:val="auto"/>
              </w:rPr>
            </w:pPr>
          </w:p>
        </w:tc>
      </w:tr>
      <w:tr>
        <w:trPr>
          <w:trHeight w:val="216"/>
        </w:trPr>
        <w:tc>
          <w:tcPr>
            <w:tcW w:w="42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98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3.258</w:t>
            </w:r>
          </w:p>
        </w:tc>
        <w:tc>
          <w:tcPr>
            <w:tcW w:w="1260" w:type="dxa"/>
            <w:vAlign w:val="bottom"/>
            <w:gridSpan w:val="3"/>
          </w:tcPr>
          <w:p>
            <w:pPr>
              <w:jc w:val="center"/>
              <w:ind w:left="250"/>
              <w:spacing w:after="0"/>
              <w:rPr>
                <w:sz w:val="20"/>
                <w:szCs w:val="20"/>
                <w:color w:val="auto"/>
              </w:rPr>
            </w:pPr>
            <w:r>
              <w:rPr>
                <w:rFonts w:ascii="Arial" w:cs="Arial" w:eastAsia="Arial" w:hAnsi="Arial"/>
                <w:sz w:val="18"/>
                <w:szCs w:val="18"/>
                <w:color w:val="auto"/>
                <w:w w:val="88"/>
              </w:rPr>
              <w:t>2.853</w:t>
            </w:r>
          </w:p>
        </w:tc>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3.010</w:t>
            </w:r>
          </w:p>
        </w:tc>
        <w:tc>
          <w:tcPr>
            <w:tcW w:w="136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2.889</w:t>
            </w:r>
          </w:p>
        </w:tc>
        <w:tc>
          <w:tcPr>
            <w:tcW w:w="80" w:type="dxa"/>
            <w:vAlign w:val="bottom"/>
          </w:tcPr>
          <w:p>
            <w:pPr>
              <w:spacing w:after="0"/>
              <w:rPr>
                <w:sz w:val="18"/>
                <w:szCs w:val="18"/>
                <w:color w:val="auto"/>
              </w:rPr>
            </w:pPr>
          </w:p>
        </w:tc>
      </w:tr>
      <w:tr>
        <w:trPr>
          <w:trHeight w:val="216"/>
        </w:trPr>
        <w:tc>
          <w:tcPr>
            <w:tcW w:w="4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2010</w:t>
            </w:r>
          </w:p>
        </w:tc>
        <w:tc>
          <w:tcPr>
            <w:tcW w:w="98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8"/>
              </w:rPr>
              <w:t>2.858</w:t>
            </w:r>
          </w:p>
        </w:tc>
        <w:tc>
          <w:tcPr>
            <w:tcW w:w="1260" w:type="dxa"/>
            <w:vAlign w:val="bottom"/>
            <w:gridSpan w:val="3"/>
            <w:shd w:val="clear" w:color="auto" w:fill="CCFFCC"/>
          </w:tcPr>
          <w:p>
            <w:pPr>
              <w:jc w:val="center"/>
              <w:ind w:left="250"/>
              <w:spacing w:after="0"/>
              <w:rPr>
                <w:sz w:val="20"/>
                <w:szCs w:val="20"/>
                <w:color w:val="auto"/>
              </w:rPr>
            </w:pPr>
            <w:r>
              <w:rPr>
                <w:rFonts w:ascii="Arial" w:cs="Arial" w:eastAsia="Arial" w:hAnsi="Arial"/>
                <w:sz w:val="18"/>
                <w:szCs w:val="18"/>
                <w:color w:val="auto"/>
                <w:w w:val="88"/>
              </w:rPr>
              <w:t>2.788</w:t>
            </w:r>
          </w:p>
        </w:tc>
        <w:tc>
          <w:tcPr>
            <w:tcW w:w="11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2.826</w:t>
            </w:r>
          </w:p>
        </w:tc>
        <w:tc>
          <w:tcPr>
            <w:tcW w:w="13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2.808</w:t>
            </w:r>
          </w:p>
        </w:tc>
        <w:tc>
          <w:tcPr>
            <w:tcW w:w="8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21" w:lineRule="exact"/>
        <w:rPr>
          <w:sz w:val="20"/>
          <w:szCs w:val="20"/>
          <w:color w:val="auto"/>
        </w:rPr>
      </w:pPr>
    </w:p>
    <w:p>
      <w:pPr>
        <w:ind w:left="5400"/>
        <w:spacing w:after="0"/>
        <w:tabs>
          <w:tab w:leader="none" w:pos="6920" w:val="left"/>
        </w:tabs>
        <w:rPr>
          <w:sz w:val="20"/>
          <w:szCs w:val="20"/>
          <w:color w:val="auto"/>
        </w:rPr>
      </w:pPr>
      <w:r>
        <w:rPr>
          <w:rFonts w:ascii="Arial" w:cs="Arial" w:eastAsia="Arial" w:hAnsi="Arial"/>
          <w:sz w:val="18"/>
          <w:szCs w:val="18"/>
          <w:b w:val="1"/>
          <w:bCs w:val="1"/>
          <w:color w:val="auto"/>
        </w:rPr>
        <w:t>High (1)</w:t>
      </w:r>
      <w:r>
        <w:rPr>
          <w:sz w:val="20"/>
          <w:szCs w:val="20"/>
          <w:color w:val="auto"/>
        </w:rPr>
        <w:tab/>
      </w:r>
      <w:r>
        <w:rPr>
          <w:rFonts w:ascii="Arial" w:cs="Arial" w:eastAsia="Arial" w:hAnsi="Arial"/>
          <w:sz w:val="17"/>
          <w:szCs w:val="17"/>
          <w:b w:val="1"/>
          <w:bCs w:val="1"/>
          <w:color w:val="auto"/>
        </w:rPr>
        <w:t>Low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18351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(Nominal Nuevos Soles per U.S. Dollar)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2010</w:t>
            </w:r>
          </w:p>
        </w:tc>
        <w:tc>
          <w:tcPr>
            <w:tcW w:w="1440" w:type="dxa"/>
            <w:vAlign w:val="bottom"/>
            <w:tcBorders>
              <w:top w:val="single" w:sz="8" w:color="auto"/>
            </w:tcBorders>
            <w:shd w:val="clear" w:color="auto" w:fill="CCFFCC"/>
          </w:tcPr>
          <w:p>
            <w:pPr>
              <w:spacing w:after="0"/>
              <w:rPr>
                <w:sz w:val="19"/>
                <w:szCs w:val="19"/>
                <w:color w:val="auto"/>
              </w:rPr>
            </w:pPr>
          </w:p>
        </w:tc>
        <w:tc>
          <w:tcPr>
            <w:tcW w:w="1440" w:type="dxa"/>
            <w:vAlign w:val="bottom"/>
            <w:tcBorders>
              <w:top w:val="single" w:sz="8" w:color="auto"/>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December</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2.828</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r>
      <w:tr>
        <w:trPr>
          <w:trHeight w:val="216"/>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2011</w:t>
            </w:r>
          </w:p>
        </w:tc>
        <w:tc>
          <w:tcPr>
            <w:tcW w:w="144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January</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2.806</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2.771</w:t>
            </w:r>
          </w:p>
        </w:tc>
        <w:tc>
          <w:tcPr>
            <w:tcW w:w="60" w:type="dxa"/>
            <w:vAlign w:val="bottom"/>
          </w:tcPr>
          <w:p>
            <w:pPr>
              <w:spacing w:after="0"/>
              <w:rPr>
                <w:sz w:val="18"/>
                <w:szCs w:val="18"/>
                <w:color w:val="auto"/>
              </w:rPr>
            </w:pPr>
          </w:p>
        </w:tc>
      </w:tr>
      <w:tr>
        <w:trPr>
          <w:trHeight w:val="216"/>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February</w:t>
            </w:r>
          </w:p>
        </w:tc>
        <w:tc>
          <w:tcPr>
            <w:tcW w:w="144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2.788</w:t>
            </w:r>
          </w:p>
        </w:tc>
        <w:tc>
          <w:tcPr>
            <w:tcW w:w="144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2.767</w:t>
            </w:r>
          </w:p>
        </w:tc>
        <w:tc>
          <w:tcPr>
            <w:tcW w:w="60" w:type="dxa"/>
            <w:vAlign w:val="bottom"/>
            <w:shd w:val="clear" w:color="auto" w:fill="CCFFC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March</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2.815</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2.767</w:t>
            </w:r>
          </w:p>
        </w:tc>
        <w:tc>
          <w:tcPr>
            <w:tcW w:w="60" w:type="dxa"/>
            <w:vAlign w:val="bottom"/>
          </w:tcPr>
          <w:p>
            <w:pPr>
              <w:spacing w:after="0"/>
              <w:rPr>
                <w:sz w:val="18"/>
                <w:szCs w:val="18"/>
                <w:color w:val="auto"/>
              </w:rPr>
            </w:pPr>
          </w:p>
        </w:tc>
      </w:tr>
      <w:tr>
        <w:trPr>
          <w:trHeight w:val="216"/>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April (through April 20)</w:t>
            </w:r>
          </w:p>
        </w:tc>
        <w:tc>
          <w:tcPr>
            <w:tcW w:w="144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2.823</w:t>
            </w:r>
          </w:p>
        </w:tc>
        <w:tc>
          <w:tcPr>
            <w:tcW w:w="144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2.799</w:t>
            </w:r>
          </w:p>
        </w:tc>
        <w:tc>
          <w:tcPr>
            <w:tcW w:w="6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average of the bid and offered free market exchange rates published by the SBS for April 20, 2011 was S/..2.818 per US$1.00.</w:t>
      </w:r>
    </w:p>
    <w:p>
      <w:pPr>
        <w:spacing w:after="0" w:line="248" w:lineRule="exact"/>
        <w:rPr>
          <w:sz w:val="20"/>
          <w:szCs w:val="20"/>
          <w:color w:val="auto"/>
        </w:rPr>
      </w:pPr>
    </w:p>
    <w:p>
      <w:pPr>
        <w:ind w:left="660" w:right="8280" w:hanging="652"/>
        <w:spacing w:after="0" w:line="53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520" w:hanging="652"/>
        <w:spacing w:after="0" w:line="5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businesses are affected by many external and other factors in the markets in which we operate. Different risk factors can impact our businesses, our ability to effectively operate and our business strategies. You should consider the risk factors carefully and read them in conjunction with all the information in this document.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geographic location exposes us to risk related to Peruvian political and economic conditions.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BCP’s, PPS’s and Prima AFP’s operations and customers are located in Peru. In addition, although ASHC is based outside of Peru, most of its customers are located in Peru. Accordingly, our results of operations and financial conditions will be dependent on the level of economic activity in Peru. Changes in economic or other policies of the Peruvian government, which has exercised and continues to exercise a substantial influence over many aspects of the private sector, could affect our results of operations and financial condition. Similarly, other political or economic developments in Peru, including government-induced effects on inflation, devaluation and economic growth could affect our operations and financial condition.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several decades, Peru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Past governments have also restricted the ability of companies to dismiss employees, expropriated private sector assets and prohibited the payment of profits to foreign investors.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1980s and the early 1990s, the Sendero Luminoso (Shining Path) and the Movimiento Revolucionario Tupac Amaru (MRTA) terrorist organizations were particularly active in Peru. Although the Shining Path and MRTA were almost de-activated in the 1990s, any resumption of activities by these or other terrorist organizations may adversely affect our operations.</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July 1990, Alberto Fujimori was elected President and implemented a broad-based reform of Peru’s political system and economic and social conditions. The reform was aimed at stabilizing the economy, restructuring the national government (by reducing bureaucracy), privatizing state-owned companies, promoting private investment, eradicating corruption and bribery in the judicial system, developing and strengthening free markets, institutionalizing democratic representation, and enacting programs designed to strengthen basic services related to education, health, housing and infrastructure. After taking office for his third term in July 2000, under extreme protest, President Fujimori was forced to call for general elections when corruption in his government was exposed to the public. Fujimori later resigned in favor of a transitory government. In April of 2009, following a 15- month trial in Lima, Fujimori was sentenced to 25 years in prison for violations of human rights in connection with government-linked death squads. In 2001, Alejandro Toledo became President, ending two years of political turmoil. President Toledo retained, for the most part, the economic policies of the previous government. He focused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faced public unrest spurred by high rates of unemployment, underemployment and poverty.</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elections held in April 2006, no presidential candidate received the required 50% or more of the votes. As a result, a second round election between the top two presidential candidates, Ollanta Humala from the Partido Unión por el Peru, or the UPP, and Alan García Pérez of the Partido Alianza Popular Revolucionaria, or APRA, was held on June 4, 2006. Alan García Pérez, who had previously served as President of Peru from 1985 to 1990, was elected and currently serves as President. The García administration has followed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Peruvian government’s economic policies during the last decade have provided the appropriate fundamentals to support positive performance by the Peruvian economy. As a result, the international financial crisis did not impact Peru as severely as other countries. In 2009 the current government implemented a US$3 billion anti-crisis program leading to a strong economic reactivation in 2010 when the Peruvian economy achieved an 8.8% annual growth in GDP. However, while the economic policies of recent Peruvian governments have been relatively stable, future governments might adopt different economic policies that are less favorable for the economy.</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Presidential elections were held in Peru on April, 10, 2011. Under the Peruvian constitution, if no candidate receives the majority of votes in a presidential election, the two candidates with the most votes will face a run-off, second round election to determine the winner. In accordance with official figures, Ollanta Humala received 31.7% of valid votes, followed by Keiko Fujimori (23.6%), Pedro Pablo Kuczynski (18.5%), Alejandro Toledo (15.6%), Luis Castañeda (9.8%) and other candidates (0.8%). Because no candidate obtained more than 50% of valid votes, a second round election will be held on June 5, 2011, between Ollanta Humala and Keiko Fujimori (the daughter of former president Alberto Fujimori).</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Neither Mr. Humala nor Ms. Fujimori is from the APRA, the political party of the current president Alan Garcia, and we do not know what economic policies either candidate would pursue if elected. The new president may pursue economic policies that would ultimately be harmful to Peruvian economic growth or to our economic and political relationships with other countries. The economic policies of the new president may have a material adverse effect on our financial condition or results of operations.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our financial condition and results of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Even though the functional currency of our financial statements is U.S. Dollars and our dividends are paid in U.S. Dollars, BCP, PPS and Prima AFP for local statutory purposes, prepare their financial statements and pay dividends in Nuevos Soles. The Peruvian government does not impose restrictions on a company’s ability to transfer U.S. Dollars from Peru to other countries, to convert Peruvian currency into U.S. Dollars or to pay dividends abroad. Nevertheless, Peru has implemented restrictive exchange controls in its history, and the Peruvian government might in the future consider it necessary to implement restrictions on such transfers, payments or conversions.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10. Additional Information—(D) Exchange Controls.” In addition, depreciation of the Nuevo Sol against the U.S. Dollar would decrease the U.S. Dollar value of any dividends BCP, PPS and Prima AFP pay us, which would have a negative impact on our ability to pay dividends to shareholders.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Peru’s foreign reserves currently compare favorably with those of many other Latin American countries. However, a reduction in the level of foreign reserves will impact the country’s ability to meet its foreign currency-denominated obligations.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assets against our Nuevo Sol-denominated liabilities. Nevertheless, a sudden and significant devaluation of the Nuevo Sol could have a material adverse effect on our financial condition and results of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11. Quantitative and Qualitative Disclosures about Market Risk—Foreign Exchange Risk.”</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a significant group of BCP’s borrowers and PPS’s insureds generate Nuevo Sol revenues from their own clients. Devaluation of the Nuevo Sol against the U.S. Dollar could negatively impact BCP’s and PPS’s clients’ ability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U.S. Dollar could have a material adverse effect on our results of operations and financial condition.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It may be difficult to serve process on or enforce judgments against us or our principals residing outside of the United States.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majority of our directors and officers live outside the United States (principally in Peru). All or most of our assets and those of our principals are located outside the United States. As a result, it may not be possible for investors to effect service of process within the United States upon us or our principals to bring forth a civil suit under the United States securities laws in United States courts. We have been advised by our Peruvian counsel that liability under the United States federal securities laws may not be enforceable in original actions in Peruvian courts. Also, judgments of United States courts obtained in actions under the United States federal securities laws may not be enforceable. Similarly, Bermudan counsel advised us that courts in Bermuda may not enforce judgments obtained in other jurisdictions, or entertain actions in Bermuda, against us or our directors or officers under the securities laws of those jurisdictions.</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our bye-laws contain a broad waiver by shareholders of any claim or right of action, both individually and on our behalf, against any of our officers or directors. This waiver limits the rights of shareholders to assert claims against our officers and directors for any action taken by an officer or director. It also limits the rights of shareholders to assert claims against officers for the failure of an officer or director to take any action in the performance of his or her duties, except with respect to any matter involving any willful negligence, willful default, fraud or dishonesty on the part of the officer or director.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Our ability to pay dividends to shareholders and to pay corporate expenses may be adversely affected by the ability of our subsidiaries to pay dividends to us.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holding company, our ability to make dividend payments, if any, and to pay corporate expenses will depend upon the receipt of dividends and other distributions from our operating subsidiaries. Our principal operating subsidiaries are BCP, PPS, ASB and Prima AFP. If our subsidiaries do not have funds available, or are otherwise restricted from paying us dividends, we may be limited in our ability to pay dividends to shareholders. Currently, there are no restrictions on the ability of BCP, ASHC, PPS or Grupo Crédito to pay dividends abroad. In addition, our right to participate in the distribution of assets of any subsidiary, upon any subsidiary’s liquidation or reorganization (and thus the ability of holders of our securities to benefit indirectly from such distribution), is subject to the prior claims of creditors of that subsidiary, except where we are considered an unsubordinated creditor of the subsidiary. Accordingly, our securities will effectively be subordinated to all existing and future liabilities of our subsidiaries, and holders of our securities should look only to our assets for payments.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that a significant percentage of our revenues are related to banking activities, a deterioration of loan quality may have an adverse impact on our financial condition and results of operations. On the one hand, loan portfolio risk associated with lending to certain economic sectors or clients in certain market segments can be mitigated through adequate diversification policies. On the other hand, our pursuit of opportunities in which we can charge higher interest rates, thereby increasing revenues, may reduce diversification of our loan portfolio and expose us to greater credit risk. We believe that significant opportunities exist in middle market, consumer lending and microfinance in Peru. We also believe that we can, on average, charge higher interest rates on such loans as compared with interest charged on loans in our core corporate banking business, made primarily to clients that operate in industrial and commercial economic sectors.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our strategy includes a greater emphasis on middle market, consumer loans and microfinance, as well as continued growth of our loan portfolio in general. An increase in our portfolio’s exposure to these areas could be accompanied by greater credit risk. Such a greater credit risk would not only be affected by the speed and magnitude of the increase, but also by the shift to lending to these sectors, which have higher risk profiles compared with loans to large corporate customers. Given the changing composition of our loan portfolio, historical loss experience may not be indicative of future loan loss experience.</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Because we are subject to regulation and supervision in Peru, Bolivia, the Cayman Islands, the United States of America and Panama, changes to the regulatory framework in any of these countries or changes in tax laws could adversely affect our business.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are mainly subject to extensive supervision and regulation through the SBS’s consolidated supervision regulations, which regulate all of our subsidiaries and offices including those located outside Peru. The SBS and the Banco Central de Reserva, or the Central Bank, supervise and regulate BCP’s operations.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as well as the rate of interest paid on deposit reserves and the amount of deposit reserves on which no interest is payable by the Central Bank. Such changes in the supervision and regulation of BCP may adversely affect our results of operations and financial condition.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 —(11) Supervision and Regulation—(ii) BCP.” Furthermore, changes in regulation related to consumer protection may also affect our business.</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February 15, 2011, the Peruvian government enacted Law 29663, which partially modifies the country’s income tax regime by subjecting to taxation in Peru capital gains derived from an indirect transfer of shares and expanding the type of income that will qualify as Peruvian-source income. Under the new law, any transfer of shares of a company not domiciled in Peru will be subject to Peruvian income tax if, at any point during the 12 months prior to the transfer, the market value of the shares of a Peruvian domiciled company that is directly or indirectly owned by the non-Peruvian domiciled company represents 50% or more of the market value of the shares representing the equity capital of the non-Peruvian domiciled company. This change became effective on February 16, 2011.</w:t>
      </w:r>
    </w:p>
    <w:p>
      <w:pPr>
        <w:spacing w:after="0" w:line="22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At the same time, two new obligations were imposed on Peruvian domiciled companies: (i) each Peruvian domiciled company is now required to report to the Peruvian Tax Administration (SUNAT) transfers of its own shares or transfers of the shares of the non-Peruvian domiciled company that is the owner of its shares, and (ii) each Peruvian domiciled company is now responsible for the income tax not paid by a non-Peruvian domiciled transferor that is directly or indirectly linked to the domiciled company (whether by means of control, management or equity participation) in connection with the transfer of the domiciled company’s shares. The effectiveness of the obligations mentioned in (i) and (ii) above is subject to additional enactments by the Peruvian government. Credicorp does not believe that the rules adopted by the Peruvian government to implement this new law will have a material impact on the company, its subsidiaries or its shareholders, but until final rules are enacted we cannot assure you that the new law will not have a material adverse effect on the company, its subsidiaries or its shareholders.</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regulated by the United States Federal Reserve System, which shares its regulatory responsibility with the State of Florida Department of Banking and Finance - Office of Financial Regulation, with respect to BCP’s Miami agency, and by the Securities and Exchange Commission (SEC) and the Financial Industry Regulatory Authority, Inc. (FINRA), with respect to Credicorp Securities, a U.S. broker dealer. Similarly, we are regulated by other governmental entities in other jurisdictions. In the Cayman Islands, we are subject to the supervision and regulation of the Cayman Islands Monetary Authority, or CIMA, while in Bolivia, we are subject to the supervision of the Financial System Supervisory Authority (or FSSA or ASFI in Spanish) that has assumed all regulatory functions held previously be the Superintendency of Banks and Financial Entities and the Superintendency of Pensions, Securities and Insurance. In Panama, we are subject to the supervision of the Superintendency of Banks and the regulatory framework set forth in the Decree Law 9 of February 25, 1998. Changes in the supervision and regulation of our subsidiaries in other countries may adversely affect our results of operations and financial condition.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banking operations in Bolivia expose us to risk related to Bolivian political and economic conditions.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Banco de Crédito de Bolivia, or BCB, is BCP’s commercial bank in Bolivia. Most of BCB’s operations and customers are located in Bolivia. Accordingly, our results of operations and financial conditions depend on the level of economic activity in Bolivia. While Bolivia’s macroeconomic indicators have generally been positive over the last several years, including a steady growth rate and increasingly international reserves, inflation has increased, primarily due to rising international food prices. At the same time, the country of Bolivia continues to experience a volatile political environment and a reduction in private investment activity We expect to face some increased costs as a result of inflation, exchange rate revaluation and also relevant some regulatory changes that could impact our earnings. In this environment, the key is to control costs and expenses, increase efficiency and maintain a prudent and proactive risk management. Any material negative effect on BCB’s operations or financial results could have a material adverse effect on Credicorp’s own results of operations.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113"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i w:val="1"/>
          <w:iCs w:val="1"/>
          <w:color w:val="auto"/>
        </w:rPr>
        <w:t>Changes to insurance regulations in Peru may impact the ability of our insurance subsidiary to underwrite and price risk effectively, and may adversely affect our operating performance and financial condition.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business is carried out by our subsidiary PPS. The insurance business is subject to regulation by the SBS. Insurance regulations in Peru frequently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PPS is also unable to predict the timing of any such adoption and the effects any new laws or regulations would have on its operations, profitability and financial condition.</w:t>
      </w:r>
    </w:p>
    <w:p>
      <w:pPr>
        <w:spacing w:after="0" w:line="215" w:lineRule="exact"/>
        <w:rPr>
          <w:sz w:val="20"/>
          <w:szCs w:val="20"/>
          <w:color w:val="auto"/>
        </w:rPr>
      </w:pPr>
    </w:p>
    <w:p>
      <w:pPr>
        <w:jc w:val="both"/>
        <w:ind w:firstLine="691"/>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operating performance and financial condition depend on PPS’s ability to underwrite and set premium rates accurately for a full spectrum of risks. PPS must generate sufficient premiums to offset losses, loss adjustment expenses and underwriting expenses to be profitable.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price premium rates accurately, PPS must:</w:t>
      </w:r>
    </w:p>
    <w:p>
      <w:pPr>
        <w:spacing w:after="0" w:line="25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 and analyze a substantial volume of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test and apply appropriate rating formulae;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closely monitor changes in trends in a timely fashion;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 both severity and frequency with reasonable accuracy.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PPS fails to assess accurately the risks that it assumes or does not accurately estimate its retention, it may fail to establish adequate premium rates. Failure to establish adequate premium rates could reduce income and have a materially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our results of operations and financial condition.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Regulatory changes to the private pension fund system in Peru could impact our earnings and adversely affect our operating performance.</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Prima AFP manages our Pension Fund Administration business. In Peru, private pension fund managers are closely regulated by the SBS. Under the current regulatory framework, we collect commissions based on the salary of each subscriber to our pension funds. This commission-based system could be modified or eliminated by regulations that require pension fund managers to charge fees based on the balance of funds under their control. Any regulations requiring us to use a different methodology to calculate fees could negatively impact our performance.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has experienced increased competition, including increased pressure on margins. This is primarily a result of the presence of the following:</w:t>
      </w:r>
    </w:p>
    <w:p>
      <w:pPr>
        <w:spacing w:after="0" w:line="27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Highly liquid commercial banks in the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and foreign investment banks with substantial capital, technology, and marketing resources;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pension funds that lend to BCP’s corporate customers through participation in those customers’ securities issues.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jc w:val="both"/>
        <w:ind w:firstLine="648"/>
        <w:spacing w:after="0" w:line="290" w:lineRule="auto"/>
        <w:rPr>
          <w:sz w:val="20"/>
          <w:szCs w:val="20"/>
          <w:color w:val="auto"/>
        </w:rPr>
      </w:pPr>
      <w:r>
        <w:rPr>
          <w:rFonts w:ascii="Arial" w:cs="Arial" w:eastAsia="Arial" w:hAnsi="Arial"/>
          <w:sz w:val="16"/>
          <w:szCs w:val="16"/>
          <w:color w:val="auto"/>
        </w:rPr>
        <w:t>Competitors may also appropriate greater resources to, and be more successful in, the development of technologically advanced products and services that may compete directly with BCP’s products and services. Such competition would adversely affect the acceptance of BCP’s products and/or lead to adverse changes in the spending and saving habits of BCP’s customer base. If competing entities are successful in developing products and services that are more effective or less costly than the products and services developed by BCP, BCP’s products and services may be unable to compete successfully. BCP may not be able to maintain its market share if it is not able to match its competitors’ loan pricing or keep pace with their development of new products and services. Even if BCP’s products and services prove to be more effective than those developed by other entities, such other entities may be more successful in marketing their products and services than BCP because of their greater financial resources, higher sales and marketing capacity or other similar factors. Any negative impact on BCP could have a materially adverse effect on our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capital markets may result in a decline in the value of our positions and lead us to register net losses. In addition, a downturn in capital markets could also lead to volatile prices and negative net revenues from trading positions, even in the absence of a general economic downturn.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our financial condition by causing a decrease in net interest income.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5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limited liability company that was incorporated in Bermuda on October 20, 1995 to act as a holding company, coordinate the policy and administration of our subsidiaries, and engage in investing activities. Our principal activity is to coordinate and manage the business plans of our subsidiaries in an effort to implement universal banking services and develop our insurance business, focusing on Peru and Bolivia along with limited investments in other countries of the region. Our registered address is Clarendon House, 2 Church Street, Bermuda. The management and administrative office (</w:t>
      </w:r>
      <w:r>
        <w:rPr>
          <w:rFonts w:ascii="Arial" w:cs="Arial" w:eastAsia="Arial" w:hAnsi="Arial"/>
          <w:sz w:val="18"/>
          <w:szCs w:val="18"/>
          <w:i w:val="1"/>
          <w:iCs w:val="1"/>
          <w:color w:val="auto"/>
        </w:rPr>
        <w:t>i.e.</w:t>
      </w:r>
      <w:r>
        <w:rPr>
          <w:rFonts w:ascii="Arial" w:cs="Arial" w:eastAsia="Arial" w:hAnsi="Arial"/>
          <w:sz w:val="18"/>
          <w:szCs w:val="18"/>
          <w:color w:val="auto"/>
        </w:rPr>
        <w:t>, principal place of business) in Peru of our subsidiary, Banco de Crédito del Perú, is located at Calle Centenario 156, La Molina, Lima 12, Peru, and the phone number is 51-1-313-2000.</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the largest financial services holding company in Peru and are closely identified with our principal subsidiary, BCP, the country’s largest bank and the leading supplier of integrated financial services in Peru.</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engaged principally in banking (including commercial and investment banking), insurance (including commercial property, transportation and marine hull, automobile, life, health and underwriting insurance), pension funds (including private pension fund management services), and brokerage and other (including brokerage, trust, custody and securitization services, asset management and proprietary trading and investment). As of December 31, 2010, our total assets were US$28.4 billion and our net equity was US$2.9 billion. Our net income attributable to our equity holders in 2009 and 2010 was US$469.8 million and US$571.3 million,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 and “Item 5. Operating and Financial Review and Prospects.”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management purposes, the Group is organized into four operating segments based on products and services. According to IFRS, an operating segment is a component of an entity that engages in business activities from which it may earn revenues and incur expenses; whose operating results are regularly reviewed by the entity’s chief who makes decisions about resources allocation for the segment and assesses its performance; and for which discrete financial information is available. We conduct our financial services business through our operating segments as follows: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Banking: principally handling loans, credit facilities, deposits and current accounts, and providing investment banking services, including corporate finance, both for corporate and institutional customers. Banking also includes handling deposits consumer loans and credit cards facilities for individual customers.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Insurance: including commercial property, transportation and marine hull, automobile, life, health and pension fund underwriting insurance.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funds: providing private pension fund management services to contributors.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Brokerage and others: including the structuring and placement of primary market issues and the execution and trading of secondary market transactions. This segment also includes offers of local securitization structuring to corporate entities, management of mutual funds and other services.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gives certain financial information about us by principal business segments as of and for the year ended December 31, 2010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26 to the Credicorp Consolidated Financial Statements):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89"/>
              </w:rPr>
              <w:t>As of and for the Year ended December 31, 2010</w:t>
            </w:r>
          </w:p>
        </w:tc>
      </w:tr>
      <w:tr>
        <w:trPr>
          <w:trHeight w:val="198"/>
        </w:trPr>
        <w:tc>
          <w:tcPr>
            <w:tcW w:w="3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410"/>
              <w:spacing w:after="0" w:line="198" w:lineRule="exact"/>
              <w:rPr>
                <w:sz w:val="20"/>
                <w:szCs w:val="20"/>
                <w:color w:val="auto"/>
              </w:rPr>
            </w:pPr>
            <w:r>
              <w:rPr>
                <w:rFonts w:ascii="Arial" w:cs="Arial" w:eastAsia="Arial" w:hAnsi="Arial"/>
                <w:sz w:val="18"/>
                <w:szCs w:val="18"/>
                <w:b w:val="1"/>
                <w:bCs w:val="1"/>
                <w:color w:val="auto"/>
                <w:w w:val="92"/>
              </w:rPr>
              <w:t>Total</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Operating</w:t>
            </w: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w w:val="88"/>
              </w:rPr>
              <w:t>Total</w:t>
            </w:r>
          </w:p>
        </w:tc>
        <w:tc>
          <w:tcPr>
            <w:tcW w:w="60" w:type="dxa"/>
            <w:vAlign w:val="bottom"/>
          </w:tcPr>
          <w:p>
            <w:pPr>
              <w:spacing w:after="0"/>
              <w:rPr>
                <w:sz w:val="17"/>
                <w:szCs w:val="17"/>
                <w:color w:val="auto"/>
              </w:rPr>
            </w:pPr>
          </w:p>
        </w:tc>
      </w:tr>
      <w:tr>
        <w:trPr>
          <w:trHeight w:val="241"/>
        </w:trPr>
        <w:tc>
          <w:tcPr>
            <w:tcW w:w="3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Income</w:t>
            </w:r>
          </w:p>
        </w:tc>
        <w:tc>
          <w:tcPr>
            <w:tcW w:w="3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20"/>
                <w:szCs w:val="20"/>
                <w:color w:val="auto"/>
              </w:rPr>
            </w:pPr>
          </w:p>
        </w:tc>
      </w:tr>
      <w:tr>
        <w:trPr>
          <w:trHeight w:val="216"/>
        </w:trPr>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i w:val="1"/>
                <w:iCs w:val="1"/>
                <w:color w:val="auto"/>
                <w:w w:val="73"/>
              </w:rPr>
              <w:t>(U.S.</w:t>
            </w:r>
          </w:p>
        </w:tc>
        <w:tc>
          <w:tcPr>
            <w:tcW w:w="1760" w:type="dxa"/>
            <w:vAlign w:val="bottom"/>
            <w:gridSpan w:val="4"/>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Banking</w:t>
            </w:r>
          </w:p>
        </w:tc>
        <w:tc>
          <w:tcPr>
            <w:tcW w:w="1300" w:type="dxa"/>
            <w:vAlign w:val="bottom"/>
            <w:gridSpan w:val="2"/>
            <w:shd w:val="clear" w:color="auto" w:fill="CCFFCC"/>
          </w:tcPr>
          <w:p>
            <w:pPr>
              <w:ind w:left="960"/>
              <w:spacing w:after="0"/>
              <w:rPr>
                <w:sz w:val="20"/>
                <w:szCs w:val="20"/>
                <w:color w:val="auto"/>
              </w:rPr>
            </w:pPr>
            <w:r>
              <w:rPr>
                <w:rFonts w:ascii="Arial" w:cs="Arial" w:eastAsia="Arial" w:hAnsi="Arial"/>
                <w:sz w:val="18"/>
                <w:szCs w:val="18"/>
                <w:color w:val="auto"/>
                <w:w w:val="91"/>
              </w:rPr>
              <w:t>US$</w:t>
            </w:r>
          </w:p>
        </w:tc>
        <w:tc>
          <w:tcPr>
            <w:tcW w:w="9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2,042</w:t>
            </w:r>
          </w:p>
        </w:tc>
        <w:tc>
          <w:tcPr>
            <w:tcW w:w="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1,037</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25,597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Insurance</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1,716</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Pension fund</w:t>
            </w:r>
          </w:p>
        </w:tc>
        <w:tc>
          <w:tcPr>
            <w:tcW w:w="9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Brokerage and others</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r>
      <w:tr>
        <w:trPr>
          <w:trHeight w:val="27"/>
        </w:trPr>
        <w:tc>
          <w:tcPr>
            <w:tcW w:w="3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Credicorp</w:t>
            </w:r>
          </w:p>
        </w:tc>
        <w:tc>
          <w:tcPr>
            <w:tcW w:w="9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2,757</w:t>
            </w:r>
          </w:p>
        </w:tc>
        <w:tc>
          <w:tcPr>
            <w:tcW w:w="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w:t>
            </w: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1,222</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28,413</w:t>
            </w:r>
          </w:p>
        </w:tc>
      </w:tr>
      <w:tr>
        <w:trPr>
          <w:trHeight w:val="230"/>
        </w:trPr>
        <w:tc>
          <w:tcPr>
            <w:tcW w:w="3020" w:type="dxa"/>
            <w:vAlign w:val="bottom"/>
          </w:tcPr>
          <w:p>
            <w:pPr>
              <w:ind w:left="160"/>
              <w:spacing w:after="0"/>
              <w:rPr>
                <w:sz w:val="20"/>
                <w:szCs w:val="20"/>
                <w:color w:val="auto"/>
              </w:rPr>
            </w:pPr>
            <w:r>
              <w:rPr>
                <w:rFonts w:ascii="Arial" w:cs="Arial" w:eastAsia="Arial" w:hAnsi="Arial"/>
                <w:sz w:val="18"/>
                <w:szCs w:val="18"/>
                <w:color w:val="auto"/>
              </w:rPr>
              <w:t>Asset Under Management</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16,212</w:t>
            </w: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ind w:firstLine="648"/>
        <w:spacing w:after="0" w:line="297" w:lineRule="auto"/>
        <w:rPr>
          <w:sz w:val="20"/>
          <w:szCs w:val="20"/>
          <w:color w:val="auto"/>
        </w:rPr>
      </w:pPr>
      <w:r>
        <w:rPr>
          <w:rFonts w:ascii="Arial" w:cs="Arial" w:eastAsia="Arial" w:hAnsi="Arial"/>
          <w:sz w:val="16"/>
          <w:szCs w:val="16"/>
          <w:color w:val="auto"/>
        </w:rPr>
        <w:t>We conduct our commercial banking and investment banking activities primarily through BCP, the largest (in terms of total assets, loans, deposits, net equity and net income) full-service Peruvian commercial bank, and ASB private banking and asset management firm. We conduct our pension fund business through Prima AFP and our insurance activities through PPS, which is the second largest Peruvian insurance company in terms of premiums, fees and net income. You should note that the term “Peruvian commercial bank,” “Peruvian insurance company” and other similar terms used in this Annual Report do not include the assets, results or operations of any foreign parent company or foreign subsidiary of such Peruvian company.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were formed in 1995 for the purpose of acquiring, through an exchange offer, the common shares of BCP, ASHC and PPS. Pursuant to this exchange offer, in October 1995 we acquired 90.1% of BCP, 98.2% of ASHC and 75.8% of PPS. We acquired the remaining 1.8% outstanding shares of ASHC in March 1996, pursuant to another exchange offer.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Company—(C) Organizational Structure.”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we purchased 99.99% of Inversiones Crédito (whose name has changed to Grupo Crédito), a non-financial entity with assets of US$376.9 million as of December 2009.</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1997, we acquired 39.5% of BCB from BCP for US$9.2 million. In July 1998, we acquired 94.86% of Banco de La Paz, a Bolivian bank with US$52.1 million in assets, which we subsequently merged with BCB in January 1999. During this time, we also increased our beneficial ownership in BCB to 55.79%, which left BCP with ownership of the remaining 44.21%. In November 2001, however, BCP bought back 55.53% of our interest in BCB for US$31.5 million. As of December 31, 2010, BCB operated 66 branches and 176 ATMs located throughout Bolivia. BCB’s results have been consolidated in the BCP financial statements since the date of its acquisition by BCP in November 1993.</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1997, we acquired Banco Tequendama, a Colombian banking enterprise. In 2002, we sold Banco Tequendama’s Venezuelan branches. In March 2005, we then sold Banco Tequendama to a Colombian bank. While this sale was publicly announced in October 2004 and became effective on January 1, 2005, it was not completed until March 2005 after all required approvals were obtained from the Colombian authorities. We did not record any significant gain or loss as a result of this transaction.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we made a tender offer for outstanding BCP shares for S/.1.80 per share, approximately equal to the book value of such shares, disbursing directly and through our subsidiary PPS an amount of approximately US$35.3 million. As a result of the tender offer, our equity stake in BCP increased from 90.6% to 97.0% (including shares held by PPS).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Banco Santander Central Hispano-Perú (BSCH-Perú) for US$50.0 million. Since that date, BSCH-Perú has been included in BCP’s consolidated financial statements. On December 31, 2002, BSCH-Perú had total assets of US$975.2 million, total loans of US$719.4 million and deposits of US$659.0 million. BSCH-Perú was merged into BCP on February 28, 2003.</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added to its 55% stake by acquiring for US$17.0 million the remaining 45% of the equity shares of Solución Financiera de Crédito del Perú S.A. (Solución) from Banco de Crédito e Inversiones de Chile (BCI) and other foreign shareholders. As a result, Solución once again became a BCP wholly-owned subsidiary. In March 2004, substantially all of Solución’s assets and liabilities were absorbed into BCP’s Peruvian banking operations. Solución’s net income in 2003 was US$7.6 million, and it had, as of February 28, 2004, a loan portfolio of US$88.4 million, with a 3.0% past-due ratio.</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2003, BCP converted Banco de Crédito Overseas Limited (BCOL), its offshore bank in the Bahamas, into a vehicle to conduct investments and sold it to ASHC. ASHC then consolidated BCOL into its operations during 2004. In accordance with our policy regarding holdings of equity interests in non-financial companies, we then caused certain long-term equity interests that were previously held by BCOL to be transferred to BCP and then in turn transferred to Grupo Crédito. In April 2004, PPS sold substantially all of its holdings of our equity shares to ASHC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Major Shareholders and Related Party Transactions—(A) Major Shareholders”).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2004, PPS acquired 100% of Novasalud Perú S.A. – Entidad Prestadora de Salud (Novasalud EPS) for US$6.5 million. PPS then merged Novasalud EPS with Pacífico S.A. Entidad Prestadora de Salud (Pacífico Salud), a subsidiary of PPS.</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January 2005, BCP and Bank of America, which is the principal shareholder of Fleet Boston N.A., agreed to engage in a buy-sale transaction of the loan portfolio of the Peruvian branch of Bank Boston N.A. BCP paid approximately US$353.8 million in cash for the loan portfolio, which included commercial loans, mortgage and leasing operations. The transaction was recorded at acquisition cost.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2005, we were authorized by Peruvian regulatory authorities to establish Prima AFP, of which Grupo Crédito is the main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 AFP started operations in August 2005.</w:t>
      </w:r>
    </w:p>
    <w:p>
      <w:pPr>
        <w:spacing w:after="0" w:line="2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2006, Prima AFP acquired Unión Vida AFP, which is a pension fund operating in the Peruvian market. Prima AFP’s acquisition of Unión Vida AFP, which was formerly held by Grupo Santander Perú S.A., was a strategic move toward consolidation as part of its efforts to gain a leading position in the pension fund market. This acquisition enabled Prima AFP to position itself as the second ranking company in terms of market share terms (defined as the amount of affiliates and assets under corporate management), with the second highest returns and the lowest commission for affiliates (who invest a portion of their salary each month). The merger between Prima AFP and Unión Vida AFP was consummated in December 2006.</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right="20" w:firstLine="648"/>
        <w:spacing w:after="0" w:line="308" w:lineRule="auto"/>
        <w:rPr>
          <w:sz w:val="20"/>
          <w:szCs w:val="20"/>
          <w:color w:val="auto"/>
        </w:rPr>
      </w:pPr>
      <w:r>
        <w:rPr>
          <w:rFonts w:ascii="Arial" w:cs="Arial" w:eastAsia="Arial" w:hAnsi="Arial"/>
          <w:sz w:val="17"/>
          <w:szCs w:val="17"/>
          <w:color w:val="auto"/>
        </w:rPr>
        <w:t>In 2006, Prima AFP incurred significant merger expenses relative to its size, reaching the end of the year with losses of US$20.7 million. However, Prima AFP had a net income of US$25.5 million during 2010, with 1,124,457 affiliates and US$9,765 million of funds under its management.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we bought PPS’s remaining 1.02% of BCP shares, generating goodwill, valued at approximately US$7.2 million, from to the minority interest we acquired (0.25%).</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2009, BCP acquired from the Cooperative for Assistance and Relief Everywhere Inc. (CARE) – Perú, all the shares that this entity owned of Empresa Financiera Edyficar S.A. (Edyficar), representing 77.12% of Edyficar’s capital stock. In accordance with Peruvian legal requirements in effect at the time, BCP made a public offering to Edyficar’s minority shareholders to acquire the remaining 22.66% of the company’s stock. The total purchase price for the acquisition was US$96.1 million, including related direct acquisition costs. As of December 31, 2010 BCP owned 99.79% of Edyficar.</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October 2010 the Credicorp group acquired American Life Insurance Company (ALICO)’s 20.1% and 38% stakes in PPS and Pacifico Vida, respectively. Pacifico Vida's shares were acquired through Credicorp Ltd. and its subsidiary, Grupo Credito, acquired PPS's shares. Consequently, at the conclusion of this transaction, Credicorp and its subsidiary Grupo Credito held 97.26% of Pacifico Seguros, and jointly controlled 100% of Pacifico Vida. The total investment amounted to approximately US$174 million, making it the largest transaction ever completed in the Peruvian insurance market. The acquisition will permit the Credicorp group to realize synergies in its decision making process and through the integration of all its insurance business lines. The closer proximity between companies will also allow PPS to improve its value proposition to customers, who seek integral insurance solutions. On April 28, 2011, Credicorp transferred its 38% stake in Pacifico Vida to PPS. As a result of that transfer, PPS now directly owns 100% of the shares of Pacifico Vida. This transfer will have no effect on Credicorp’s consolidated financial statements.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2010, Credicorp's Board of Directors approved the transfer of 84.9% of BCP´s total shares to Grupo Crédito S.A. (its Peruvian wholly owned subsidiary) through a capital contribution, in order to facilitate Credicorp's future investments in Peru without modifying the controlling structure of BCP. The transaction was authorized by the Peruvian Superintendency of Banking, Insurance and Private Pension Fund Administrators. Under the new structure, Credicorp directly holds 12.7% of BCP's total shares and, in conjunction with its subsidiary Grupo Crédito, continues to control the same 97.6% of such shares without modifying the internal governance structure. Before this change in ownership structure, dividends to Credicorp from its Peruvian subsidiaries, such as BCP, were remitted abroad and had to be remitted back to Peru when capital for new investments in the country were required. With the new structure, Grupo Crédito, which acts as the local holding for some of Credicorp's investments in Peru (Prima AFP, PPS and others), will manage Credicorp's future Peruvian investments, and directly transfer the dividends to Credicorp when it is required to do so under Credicorp's dividend policy. This modified organizational structure will not affect the way Credicorp and BCP manage their day-to-day operations, and Credicorp’s dividend policy has not changed as a result of this transaction</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show our organization and the organization of our principal subsidiaries as of December 31, 2010 and their relative percentage contribution to our total assets, total revenues, net income and net equity at the same date (</w:t>
      </w:r>
      <w:r>
        <w:rPr>
          <w:rFonts w:ascii="Arial" w:cs="Arial" w:eastAsia="Arial" w:hAnsi="Arial"/>
          <w:sz w:val="18"/>
          <w:szCs w:val="18"/>
          <w:i w:val="1"/>
          <w:iCs w:val="1"/>
          <w:color w:val="auto"/>
        </w:rPr>
        <w:t>see</w:t>
      </w:r>
      <w:r>
        <w:rPr>
          <w:rFonts w:ascii="Arial" w:cs="Arial" w:eastAsia="Arial" w:hAnsi="Arial"/>
          <w:sz w:val="18"/>
          <w:szCs w:val="18"/>
          <w:color w:val="auto"/>
        </w:rPr>
        <w:t xml:space="preserv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134620</wp:posOffset>
            </wp:positionV>
            <wp:extent cx="4896485" cy="2315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9648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5240" w:type="dxa"/>
            <w:vAlign w:val="bottom"/>
            <w:gridSpan w:val="8"/>
          </w:tcPr>
          <w:p>
            <w:pPr>
              <w:ind w:left="600"/>
              <w:spacing w:after="0"/>
              <w:rPr>
                <w:sz w:val="20"/>
                <w:szCs w:val="20"/>
                <w:color w:val="auto"/>
              </w:rPr>
            </w:pPr>
            <w:r>
              <w:rPr>
                <w:rFonts w:ascii="Arial" w:cs="Arial" w:eastAsia="Arial" w:hAnsi="Arial"/>
                <w:sz w:val="18"/>
                <w:szCs w:val="18"/>
                <w:b w:val="1"/>
                <w:bCs w:val="1"/>
                <w:color w:val="auto"/>
              </w:rPr>
              <w:t xml:space="preserve">As of and for the Year ended December 31, 2010 </w:t>
            </w:r>
            <w:r>
              <w:rPr>
                <w:rFonts w:ascii="Arial" w:cs="Arial" w:eastAsia="Arial" w:hAnsi="Arial"/>
                <w:sz w:val="18"/>
                <w:szCs w:val="18"/>
                <w:color w:val="auto"/>
              </w:rPr>
              <w:t>(1)</w:t>
            </w:r>
          </w:p>
        </w:tc>
      </w:tr>
      <w:tr>
        <w:trPr>
          <w:trHeight w:val="198"/>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Net Income</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9"/>
              </w:rPr>
              <w:t>Total Assets</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Total Revenue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Net Equity</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88.9%</w:t>
            </w:r>
          </w:p>
        </w:tc>
        <w:tc>
          <w:tcPr>
            <w:tcW w:w="138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0"/>
              </w:rPr>
              <w:t>69.8%</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0"/>
              </w:rPr>
              <w:t>87.7%</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0"/>
              </w:rPr>
              <w:t>70.8%</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5.5%</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6.8%</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 (2)</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6.0%</w:t>
            </w:r>
          </w:p>
        </w:tc>
        <w:tc>
          <w:tcPr>
            <w:tcW w:w="138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0"/>
              </w:rPr>
              <w:t>21.2%</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0"/>
              </w:rPr>
              <w:t>12.8%</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0"/>
              </w:rPr>
              <w:t>11.5%</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Prima AFP</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3.1%</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4.6%</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0.6%</w:t>
            </w:r>
          </w:p>
        </w:tc>
        <w:tc>
          <w:tcPr>
            <w:tcW w:w="138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0.3%</w:t>
            </w:r>
          </w:p>
        </w:tc>
        <w:tc>
          <w:tcPr>
            <w:tcW w:w="13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1"/>
              </w:rPr>
              <w:t>-11.9%</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2"/>
              </w:rPr>
              <w:t>2.7%</w:t>
            </w:r>
          </w:p>
        </w:tc>
        <w:tc>
          <w:tcPr>
            <w:tcW w:w="10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Percentages determined based on the Credicorp Consolidated Financial Statements.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PPS and Pacífico Vida.</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169545</wp:posOffset>
            </wp:positionV>
            <wp:extent cx="5746115" cy="1020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11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280" w:type="dxa"/>
            <w:vAlign w:val="bottom"/>
            <w:gridSpan w:val="8"/>
          </w:tcPr>
          <w:p>
            <w:pPr>
              <w:ind w:left="120"/>
              <w:spacing w:after="0"/>
              <w:rPr>
                <w:sz w:val="20"/>
                <w:szCs w:val="20"/>
                <w:color w:val="auto"/>
              </w:rPr>
            </w:pPr>
            <w:r>
              <w:rPr>
                <w:rFonts w:ascii="Arial" w:cs="Arial" w:eastAsia="Arial" w:hAnsi="Arial"/>
                <w:sz w:val="18"/>
                <w:szCs w:val="18"/>
                <w:b w:val="1"/>
                <w:bCs w:val="1"/>
                <w:color w:val="auto"/>
                <w:w w:val="94"/>
              </w:rPr>
              <w:t xml:space="preserve">As of and for the Year ended December 31, 2010 </w:t>
            </w:r>
            <w:r>
              <w:rPr>
                <w:rFonts w:ascii="Arial" w:cs="Arial" w:eastAsia="Arial" w:hAnsi="Arial"/>
                <w:sz w:val="18"/>
                <w:szCs w:val="18"/>
                <w:color w:val="auto"/>
                <w:w w:val="94"/>
              </w:rPr>
              <w:t>(2)</w:t>
            </w:r>
          </w:p>
        </w:tc>
      </w:tr>
      <w:tr>
        <w:trPr>
          <w:trHeight w:val="198"/>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Net Income</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Net</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92.2%</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88.4%</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84.6%</w:t>
            </w:r>
          </w:p>
        </w:tc>
        <w:tc>
          <w:tcPr>
            <w:tcW w:w="10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0"/>
              </w:rPr>
              <w:t>79.0%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4.4%</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4.2%</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4.2%</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Empresa Financiera Edyficar S.A.</w:t>
            </w:r>
          </w:p>
        </w:tc>
        <w:tc>
          <w:tcPr>
            <w:tcW w:w="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1.8%</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5.0%</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3.9%</w:t>
            </w:r>
          </w:p>
        </w:tc>
        <w:tc>
          <w:tcPr>
            <w:tcW w:w="10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2.6%</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Solución Empresa Administradora Hipotecaria S.A.</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0.2%</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0.7%</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Credifondo S.A.</w:t>
            </w:r>
          </w:p>
        </w:tc>
        <w:tc>
          <w:tcPr>
            <w:tcW w:w="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0.1%</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1.6%</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4.6%</w:t>
            </w:r>
          </w:p>
        </w:tc>
        <w:tc>
          <w:tcPr>
            <w:tcW w:w="10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2"/>
              </w:rPr>
              <w:t>1.3%</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Credibolsa Sociedad Agente de Bolsa S.A.</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0.8%</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1.0%</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0.2%</w:t>
            </w:r>
          </w:p>
        </w:tc>
        <w:tc>
          <w:tcPr>
            <w:tcW w:w="11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1.2%</w:t>
            </w:r>
          </w:p>
        </w:tc>
        <w:tc>
          <w:tcPr>
            <w:tcW w:w="10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0"/>
              </w:rPr>
              <w:t>10.9%</w:t>
            </w:r>
          </w:p>
        </w:tc>
        <w:tc>
          <w:tcPr>
            <w:tcW w:w="8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hold an additional 4.08% stake through Credicorp Ltd.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2010.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3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Business Overview</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2010</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conduct our business operations through four different operating segments: Banking (which includes BCP, ASHC, BCB, Edyficar, and other minor financial subsidiaries), Insurance (which includes Pacífico Peruano Suiza and its subsidiaries), Pension funds (which includes Prima AFP), and Brokerage and other (which include principally Credifondo, Credibolsa, and others).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Primarily as a result of the strong recovery of the Peruvian economy in 2010, we recorded net income after minority interests of US$571.3 million, which was 21.6% higher than our net earnings in 2009. This result reflected the strong performance of all our subsidiaries.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total assets grew to US$28.4 billion as of December 31, 2010, a 29.1% increase from the US$22.0 billion in assets we held as of December 31, 2009. Our increase in total assets was a result of our loan growth. Loans grew by 24.2% in 2010 (compared to 9.9% in 2009, 27.8% in 2008 and 39.2% in 2007), following the expansion of the Peruvian economy, which had a GDP growth rate of 8.8% in 2010. Our past-due and under legal collection loan ratio decreased to 1.44% by the end of 2010 (compared to a ratio of 1.60% at the end of 2009 and 0.79% at the end of 2008). We had a coverage ratio of 198.0% (</w:t>
      </w:r>
      <w:r>
        <w:rPr>
          <w:rFonts w:ascii="Arial" w:cs="Arial" w:eastAsia="Arial" w:hAnsi="Arial"/>
          <w:sz w:val="16"/>
          <w:szCs w:val="16"/>
          <w:i w:val="1"/>
          <w:iCs w:val="1"/>
          <w:color w:val="auto"/>
        </w:rPr>
        <w:t>i.e.</w:t>
      </w:r>
      <w:r>
        <w:rPr>
          <w:rFonts w:ascii="Arial" w:cs="Arial" w:eastAsia="Arial" w:hAnsi="Arial"/>
          <w:sz w:val="16"/>
          <w:szCs w:val="16"/>
          <w:color w:val="auto"/>
        </w:rPr>
        <w:t>, reserves for loans as a percentage of past-due loans), and our return on average net equity decreased to 22.2% in 2010 (compared to 23.7% in 2009).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Banking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year-end 2010 net profit totaled US$477.0 million, which resulted in a contribution to Credicorp of US$464.4 million. This earnings contribution was 19.5% higher than the 2009 contribution (US$388.5 million) and was a product of the resurgence in demand for loans caused by the expansion of the Peruvian economy. As a result, BCP registered an average return on net equity (ROE) of 26.1%.</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main drivers behind BCP’s performance were:</w:t>
      </w:r>
    </w:p>
    <w:p>
      <w:pPr>
        <w:spacing w:after="0" w:line="252" w:lineRule="exact"/>
        <w:rPr>
          <w:sz w:val="20"/>
          <w:szCs w:val="20"/>
          <w:color w:val="auto"/>
        </w:rPr>
      </w:pPr>
    </w:p>
    <w:p>
      <w:pPr>
        <w:ind w:left="1300" w:hanging="320"/>
        <w:spacing w:after="0" w:line="274"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20.3% growth in its net interest income after provision for loan losses, which reflects the 14.9% expansion of interest income on loans and the moderate increase of 1.0% in interest expenses due to the adequate control and asset &amp; liability management;</w:t>
      </w:r>
    </w:p>
    <w:p>
      <w:pPr>
        <w:jc w:val="both"/>
        <w:ind w:left="1300" w:right="2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13.8% increase in other income mainly as a result of higher banking services commissions (+25.5%) and net gain on foreign exchange transactions (+17.2%), which offset the contraction of 49.5% in net gain on sales of securities that in 2009 was extraordinarily high due to the purchase-sale of sovereign and global bonds;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significant rise in translation gains from US$7.6 million in 2009 to US$23.3 million in 2010.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Performance in these areas enabled BCP to offset the company’s 6.5% increase in provisions and 14.3% increase in operating expenses. The higher operating expenses were a result of BCP’s salary, employee benefits and, to a lesser degree, administrative expenses. These higher operating expenses were exacerbated by the 2.8% appreciation of the Nuevo Sol against the U.S. dollar over the year, as a significant portion of BCP’s operating expenses are denominated in local currency.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total assets reached US$25.3 billion at the end of 2010, representing an increase of 31.7% over the previous year (US$19.2 billion). This increase in total assets was a result of the 24.0% expansion of BCP’s loan portfolio, which totaled US$13.9 billion at the end of 2010. The loan portfolio constituted 54.9% of BCP’s total assets at the end of 2010. BCP’s total past-due loans reached US$209.1 million (13.8% higher than the US$183.8 million registered in 2009) while refinanced and restructured loans increased by 29.0%, from US$58.2 million in 2009 to US$76.7 million at the end of 2010. The composition of BCP’s loan portfolio in 2010 did not change significantly. As of December 2010, the average daily balances in our wholesale banking accounted for 58.0% of BCP’s total portfolio (compared to 57.2% in December 2009) and retail banking accounted for 42% (compared to 42.8% in December 2009).</w:t>
      </w:r>
    </w:p>
    <w:p>
      <w:pPr>
        <w:spacing w:after="0" w:line="2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average daily balances of BCP’s wholesale banking loans grew by 27.7% in 2010 as a result of the revival of previously postponed corporate investment plans and the rising level of corporate inventories in Peru. As a result, BCP continued to lead the Peruvian financial system with a market share of 46.5% for the corporate segment and 34.1% for the middle market (higher than the 46.0% and 33.3% market shares obtained in 2009, respectively).</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retail banking portfolio continued its upward trend and grew 23.2% in 2010. In terms of growth and yields, BCP’s SME loans were its best performing product, growing by 30.1% (measured in average daily balances) to a total volume of US$2.2 billion, followed by mortgages which grew 21.6% to US$1.9 billion. Consumer loans grew 16.9% to US$972 million, while credit cards expanded 15.0%, totaling US$580 million.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the liabilities side, BCP’s deposits reached US$17.1 billion on December 31, 2010 (a 18.0% increase from the previous year). This increase in deposits not only continues to reinforce BCP’s funding structure as deposits account for 71.1% of all funding sources, but it also serves to maintain BCP’s status as an industry leader with a market share of 34.4%. Time deposits continued to be BCP’s largest deposit type, totaling US$5.7 billion as of December 31, 2010. Demand deposits, BCP’s second-largest deposit type, reached US$5.3 billion. Savings deposits totaled US$4.2 billion while Severance Accounts, or CTS, totaled US$1.3 billion.</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BCP’s bonds gained greater relevance within the funding structure. In 2010, BCP completed a successful issue of senior unsecured bonds for US$800 million with a term of 10 years at a rate of 5.375%, The issuance, which was oversubscribed, represented the first benchmark size issue in the history of BCP with ratings of Baa2 (Moodys) and BBB (Fitch rating). As of December 31, 2010, BCP’s bonds totaled US$1,974 million (60.6% higher than the level registered in 2009).</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 maintains conservative provisioning and long-term risk management policies. Its coverage ratio increased from 192.3% in 2009 to 198.3% in 2010. Total cumulative provisions reached US$414.8 million as of December 31, 2010, which is 17.4% higher than provisions in the previous year.</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2010, BCP continued to focus its strategy on strengthening its customer service, which is related to its goal of providing quality and widespread customer access to the financial system and thereby increasing the company’s penetration into the market. In following its network expansion plan, BCP focused on cost-efficient channels, opening ATMs and Agente BCP locations, which grew 16.4% and 25.4%, respectively. By the end of 2010, BCP had a total of 1,159 ATMs and 3,513 Agente BCP locations, which are BCP representatives located in retail establishments, such as grocery and drug stores. As a result of this strategy, BCP’s average number of transactions in 2010 increased 16.4% from 2009 and its transactional business was therefore able to generate higher income from fees and commissions.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Overall, BCP’s results met our expectations and remained profitable as the Peruvian economy expanded rapidly in 2010 after showing only mild growth in 2009.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BCB</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2010, Banco de Crédito de Bolivia (BCB) had a net income of US$15.8 million, a 45% decline from its 2009 net income of US$28.7 million. This reduction was primarily attributable to the contraction of interest income, reductions in some fees and a 29% decline in translation gain, which resulted from a flat exchange rate throughout most of 2010. There were also some other constraints, including the restriction of foreign investments (50% of equity), limiting lending rates for loans from the productive sector and the increase in deposit rates for individual persons.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2010, BCB maintained its status as one of the top banks in Bolivia. In each of the following categories, the bank outperformed or equaled the industry average in the Bolivian banking system: return on equity (17%), past-due loan ratio (1.5%) and coverage ratio (272.6%) (as compared to industry averages of 17%, 2.2% and 220.7%,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BCB’s loan portfolio expanded by 27% from 2009, totaling US$582 million in 2010. This expansion was mainly due to a 28% growth in retail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banking.</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BCB made a positive contribution to our results in 2010, the country of Bolivia continues to experience a volatile political environment and shows evidence of an increasing inflation rate and a reduction in private investment activity.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Edyficar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consolidation of Edyficar’s results into BCP’s financial statements resulted in a total contribution of US$22.1 million in 2010. As of December 31, 2010, Edyficar registered total assets of US$465.9 million which consisted of US$336.2 million from the company’s net loan portfolio, its main asset. Total liabilities increased to US$413.5 million, which included US$235.2 million from banking activities. Net shareholders’ equity reached US$52.4 million at the end of 2010.</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Edyficar focuses on SME lending and, together with BCP, it held a 19.6% market share in terms of loans at the end of 2010 (compared to a market share of 15.6% held by its closest competitor). As of December 31, 2010, its client base registered 286, 000 clients, a base 34.3% larger than in 2009. The average amount of an Edyficar loan in 2010 was S/.3,502 (approximately US$1,247). Edyficar registered a PDL ratio of 4.0% at the end of 2010, a reflection if its portfolio quality. Edyficar reached a return on average equity of 47.1% and an efficiency ratio of 56.0%.</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of Edyficar was part of BCP’s strategy to capture most of the SME segment’s growth, which is expected to expand significantly over the next several years. BCP intends to support Edyficar’s growth and development by improving its funding cost and structure and providing the capital and technology that Edyficar needs.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ASHC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second consecutive year ASHC has achieved record profits. A high quality risk portfolio and diversified investment strategies resulted in higher earnings. The company’s net earnings for 2010 amounted to US$73.4 million, compared to US$54.1 million reported for 2009. As a result, the contribution of ASHC to Credicorp, net of dividends received, amounted to US$48.5 million, a significant improvement over the US$29.7 million reported in 2009.</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Net income from interest in 2010 totaled US$62.3 million (including the US$24.9 million dividends received from Credicorp Ltd.), which represented an increase of 20% from the previous year. This rise in net income was primarily due to the company’s greater financial margin, which in turn was a result of the company’s lower funding cost (the 2010 cost was 20% below the cost in 2009). This lower funding cost reflected the steady decline of LIBOR rates during the year, a favorable scenario for the bank given the short-term structure of its customers’ deposits and their fast re-pricing, in contrast to assets engaged for longer terms and at higher interest rates. Non-financial income reached US$22.1 million and included income from fees, the sale of securities and foreign exchange operations.</w:t>
      </w:r>
    </w:p>
    <w:p>
      <w:pPr>
        <w:spacing w:after="0" w:line="2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ASHC’s total assets were US$1,400.8 million as of December 31, 2010, a decrease of 5% from 2009. This decrease in total assets was primarily a result of use of funds to cover withdrawals from customers to invest directly in securities and products that are managed by ASHC.</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at the end of 2010, assets under ASHC’s management totaled US$3,177 million, compared to US$2,177 million in 2009. This growth was primarily a result of increases in our customers’ global positions and the market value of our portfolio that followed the larger recovery in global financial markets.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2010, PPS, which encompasses Pacífico Seguros, Pacífico Vida and Pacífico Salud EPS, reported a net income of US$55.5 million (compared to US$49.2 million net income in 2009). As a result, the contribution we received from PPS increased, from a gain of US$37.4 million in 2009 to a gain of US$47.4 million in 2010. This record high contribution from PPS was primarily attributable to an increase in financial revenues of 21.8% and a reduction in the claims rate of property and casualty lines of Pacifico Seguros, a rate which dropped from 53.1% to 50.5%.</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PPS’s underwriting result in 2010, which reflects the company’s core business performance for the year, was US$93.4 million, increasing 17% compared to 2009. This improved result followed a reduction in the overall claims rate, which decreased from 65.2% in 2009 to 63.6% in 2010, and was the product of improvements that PPS implemented over the last several years through underwriting management and operating controls.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PPS will continue to focus on its retail business by developing simple products that introduce new segments to the benefits of insurance and by expanding its presence in national provinces. There is enormous growth potential in Peru’s insurance market, given the industry’s weak market penetration. Efficiency and risk management will continue to be key indicators in measuring PPS’s performance. Efficiently utilizing the BCP network is an essential component of PPS’s growth strategy for 2011 since capitalizing on synergies between the insurance business and the distribution channels of the banking business may lead PPS to greater penetration in the insurance market.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Pension fund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2010, the progress of the Peruvian economy generated good results for the Private Pension System (SPP), achieving growth in new affiliates, number of contributors, value of assets under management and collections during the year. These favorable economic conditions, together with the reduced uncertainty in financial markets lifted by the global recovery, led to an increase in the value of funds under SPP’s management, which reached US$31.0 billion as of December 2010 and represented a 29.7% year-over-year increase.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was able to strengthen its position in the market by adjusting its processes and organization to provide high-quality services and timely and transparent information to its clients. As a result, the contribution we received from Prima AFP in 2010 reached US$25.5 million, as compared to US$20.8 million in 2009.</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under management at Prima AFP increased 33.3% from US$7.3 billion in 2009 to US$9.7 billion as of December 2010. By year-end 2010, Prima AFP’s market share of total funds under management was 31.4%, representing a year-over-year increase and making Prima AFP the largest pension fund management company in Peru.</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 AFP’s revenues from commissions in 2010 reached US$85.2 million, an 8.1% increase from 2009. This improvement in performance was a result of a stable and improved portfolio of contributing members. Revenues in 2010, unlike those in 2009, included 12 rather than 13 contribution periods because the Peruvian government exempted affiliates from deductions on additional salaries that had to be paid in July and December under Peruvian labor law.</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improve its operating results, Prima AFP will continue to focus on increasing efficiency and reducing costs. Emphasis will also be placed on improving Prima AFP’s long-term stability through better risk management, one of the company’s highest priorities</w:t>
      </w:r>
    </w:p>
    <w:p>
      <w:pPr>
        <w:spacing w:after="0" w:line="34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Brokerage and others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brokerage activities are conducted through BCP, ASHC and Credicorp Securities Inc., which is one of our wholly-owned subsidiaries. Credicorp Securities is a U.S. registered broker-dealer with its offices in Miami. BCP offers clients a wide range of brokerage products and services, including mutual funds and custody services through its branch network in Lima and, on a more limited basis, throughout the rest of Peru. In addition, we also distribute such products through ASHC.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2010 our brokerage activities represented 1.8% of the total consolidated income and 1.7% of total consolidated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Contributions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our equity holders by each of our principal subsidiaries: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Variation</w:t>
            </w:r>
          </w:p>
        </w:tc>
      </w:tr>
      <w:tr>
        <w:trPr>
          <w:trHeight w:val="241"/>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2010/2009</w:t>
            </w: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i w:val="1"/>
                <w:iCs w:val="1"/>
                <w:color w:val="auto"/>
                <w:w w:val="91"/>
              </w:rPr>
              <w:t>(U.S. Dollars in millions, except percentages)</w:t>
            </w: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BCP (1)</w:t>
            </w:r>
          </w:p>
        </w:tc>
        <w:tc>
          <w:tcPr>
            <w:tcW w:w="90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8"/>
              </w:rPr>
              <w:t>410.9</w:t>
            </w:r>
          </w:p>
        </w:tc>
        <w:tc>
          <w:tcPr>
            <w:tcW w:w="16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88"/>
              </w:rPr>
              <w:t>388.5</w:t>
            </w:r>
          </w:p>
        </w:tc>
        <w:tc>
          <w:tcPr>
            <w:tcW w:w="13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8"/>
              </w:rPr>
              <w:t>464.4</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88"/>
              </w:rPr>
              <w:t>20%</w:t>
            </w:r>
          </w:p>
        </w:tc>
        <w:tc>
          <w:tcPr>
            <w:tcW w:w="1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ASCH</w:t>
            </w:r>
          </w:p>
        </w:tc>
        <w:tc>
          <w:tcPr>
            <w:tcW w:w="900" w:type="dxa"/>
            <w:vAlign w:val="bottom"/>
          </w:tcPr>
          <w:p>
            <w:pPr>
              <w:jc w:val="center"/>
              <w:ind w:left="170"/>
              <w:spacing w:after="0"/>
              <w:rPr>
                <w:sz w:val="20"/>
                <w:szCs w:val="20"/>
                <w:color w:val="auto"/>
              </w:rPr>
            </w:pPr>
            <w:r>
              <w:rPr>
                <w:rFonts w:ascii="Arial" w:cs="Arial" w:eastAsia="Arial" w:hAnsi="Arial"/>
                <w:sz w:val="18"/>
                <w:szCs w:val="18"/>
                <w:color w:val="auto"/>
                <w:w w:val="93"/>
              </w:rPr>
              <w:t>(50.4)</w:t>
            </w:r>
          </w:p>
        </w:tc>
        <w:tc>
          <w:tcPr>
            <w:tcW w:w="166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29.7</w:t>
            </w:r>
          </w:p>
        </w:tc>
        <w:tc>
          <w:tcPr>
            <w:tcW w:w="13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48.8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8"/>
              </w:rPr>
              <w:t>64%</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90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3"/>
              </w:rPr>
              <w:t>(15.9)</w:t>
            </w:r>
          </w:p>
        </w:tc>
        <w:tc>
          <w:tcPr>
            <w:tcW w:w="16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1"/>
              </w:rPr>
              <w:t>37.4</w:t>
            </w:r>
          </w:p>
        </w:tc>
        <w:tc>
          <w:tcPr>
            <w:tcW w:w="13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1"/>
              </w:rPr>
              <w:t>47.5</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88"/>
              </w:rPr>
              <w:t>27%</w:t>
            </w:r>
          </w:p>
        </w:tc>
        <w:tc>
          <w:tcPr>
            <w:tcW w:w="18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PRIMA AFP and others (2)</w:t>
            </w:r>
          </w:p>
        </w:tc>
        <w:tc>
          <w:tcPr>
            <w:tcW w:w="9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1"/>
              </w:rPr>
              <w:t>13.2</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14.2</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-25%</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88"/>
              </w:rPr>
              <w:t>357.8</w:t>
            </w:r>
          </w:p>
        </w:tc>
        <w:tc>
          <w:tcPr>
            <w:tcW w:w="16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88"/>
              </w:rPr>
              <w:t>469.8</w:t>
            </w:r>
          </w:p>
        </w:tc>
        <w:tc>
          <w:tcPr>
            <w:tcW w:w="13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8"/>
              </w:rPr>
              <w:t>571.3</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88"/>
              </w:rPr>
              <w:t>22%</w:t>
            </w:r>
          </w:p>
        </w:tc>
        <w:tc>
          <w:tcPr>
            <w:tcW w:w="18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US$15.8 million in 2010, US$30.3 million in 2009 and US$42.9 million in 2008; and Edyficar, which contributed US$21.5 million in 2010 and US$1.1 million in 2009 (BCP acquired Edyficar in October 2009).</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Prima AFP (which recorded a net income of US$25.5 million in 2010, US$20.8 million in 2009 and US$11.2 million in 2008), Credicorp Securities, Credicorp Ltd. (which mainly includes expenses and the tax withheld in connection with the estimation of the dividends to be distributed to us by our Peruvian subsidiaries (BCP and PPS)) and others.</w:t>
      </w:r>
    </w:p>
    <w:p>
      <w:pPr>
        <w:spacing w:after="0" w:line="213" w:lineRule="exact"/>
        <w:rPr>
          <w:sz w:val="20"/>
          <w:szCs w:val="20"/>
          <w:color w:val="auto"/>
        </w:rPr>
      </w:pPr>
    </w:p>
    <w:p>
      <w:pPr>
        <w:ind w:left="1100" w:hanging="444"/>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was established to create a financial group that would benefit from the synergies among the group’s companies and would become a leader within each business market in which the companies operate. In moving steadily toward achieving these strategic goals, we have become a leading financial group. However, we do not operate in a static environment and the last three years have demonstrated how quickly and dramatically the world can change. Peru’s economic growth slowed significantly in 2009 as a result of the international recession and we took steps toward improving our long-term sustainability and positioned our companies for growth as Peru’s needs evolve. In 2010 Peru’s economy returned to the dynamism it showed in the pre-crisis period and we continued, and completed in many cases, the implementation of various initiatives that were designed to ensure the sustainability of Credicorp’s business segments.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Peruvian market offers one of the greatest growth opportunities in South America. In the banking, insurance and pension fund industries, market penetration by service providers remains low. Accordingly, our business plans incorporate strategies that will enable us to reach underserved segments of the Peruvian population and achieve higher returns on our capital. As our businesses expand, it becomes increasingly important for us to maximize efficiencies and control risk. Our strength in these areas is the cornerstone of our strategy to achieve healthy, sustained and profitable growth.</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growth strategies we have adopted for each of our companies contain a focus on retail markets. Using our collective resources, we are developing information systems that can collect commercial sales information and provide us with the data we need to process scoring models by segment. This will enhance our ability to assess and control risk.</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continue to make strides toward greater integration of our companies by more extensively sharing our talents and experience.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Outlook for 2011</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that the favorable economic conditions in Peru that characterized 2010 will remain in 2011. Throughout the year, we will continue to take a development-oriented approach, preparing for changes in the Peruvian market, which is expected to have high growth rates in the upcoming years. Given the low levels of penetration in Peru’s banking and insurance markets, our subsidiaries will be well positioned to expand. Our high equity, sound levels of technical and professional expertise, and strong relationships built on the trust of our customers, are all signals indicating a positive outlook for the Company.</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ind w:left="1100" w:hanging="444"/>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banking business is carried out through BCP, which is our largest subsidiary and the oldest bank in Peru. A portion of our banking business is also carried out by ASB, which principally serves Peruvian private banking customers through offices in Panama. We conduct banking activities in Bolivia through BCB, a full service commercial bank and the fourth largest Bolivian bank in terms of loans and deposits, with 12.1% and 13.4% market share, respectively.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banking business is organized into wholesale banking activities, which are carried out by BCP’s wholesale banking group (which includes the corporate banking operations of ASB), and retail banking activities, which are carried out by BCP’s retail banking group. To increase our visibility and raise our market share in the retail banking industry, BCP bought Edyficar, which is a scaled, high-growth and highly profitable microfinance business. Edyficar has a solid risk management strategy and a proven track record in both loan portfolio growth and social impact. The company provides financial services for low-income micro-entrepreneurs and unbanked communities.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apply uniform credit policies and approval and review procedures, which are based on conservative criteria adopted by BCP, to all of BCP’s subsidiaries. Our general manager is in charge of setting the general credit policies for our different business areas. These policies are set within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 and the guidelines set forth by our Board of Directors.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Our deposit-taking operations are principally managed by BCP’s retail banking group and ASHC’s private banking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“(12) Selected Statistical Information—(iv) Deposits.”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conduct our insurance operations exclusively through PPS and its subsidiaries, which provide a broad range of insurance products. PPS focuses on three business areas,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Pension funds, brokerage and others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our trading and brokerage activities are conducted through BCP, ASB and Credicorp Securities Inc. (also referred to as Credicorp Securities), which is one of our wholly-owned subsidiaries. Credicorp Securities is a U.S. registered broker-dealer with its offices in Miami. Our asset management business is carried out by BCP in Peru, through its subsidiary Credifondo, by ASHC and by Prima AFP, the pension fund administrator.</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Brokerage and other services through BCP and ASB. BCP offers clients a wide range of such products and services, such as brokerage, mutual funds and custody services through its branch network in Lima and, on a more limited basis, throughout the rest of Peru. In addition, we also distribute such products through ASB.</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last few years, we have consolidated an important line of business, asset management, for our customers. As of December 31, 2010 our assets under management totaled US$15.7 billion, an increase of 41.7% from 2009, which was mainly due to the market recovery after a drastic drop in the market values of securities caused by the international financial crisis. The majority of our asset management business is performed through our subsidiary, Prima AFP whose funds under management (private pension funds) totaled US$9,765 million at the end of 2010.</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Mutual funds represent another important contributor to our asset management business, carried out through BCP’s mutual funds subsidiary, Credifondo Sociedad Administradora de Fondos Mutuos (or Credifondo). Credifondo leads the Peruvian market with a share of 42.4% of the total assets currently under management. Finally, BCP’s affiliate, Atlantic Security Bank, offers the international mutual funds and financial advisory services to BCP’s private banking customers.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established a corporate supervision project entitled “Asset Management” due to the size of these businesses, the importance of the commissions they generate and, above all, the fiduciary responsibility they entail. The main objectives of the project are to establish homogeneous risk control and investment policies based on best international practices. The Asset Management business has four main components:</w:t>
      </w:r>
    </w:p>
    <w:p>
      <w:pPr>
        <w:spacing w:after="0" w:line="193"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Portfolio Management: </w:t>
      </w:r>
      <w:r>
        <w:rPr>
          <w:rFonts w:ascii="Arial" w:cs="Arial" w:eastAsia="Arial" w:hAnsi="Arial"/>
          <w:sz w:val="16"/>
          <w:szCs w:val="16"/>
          <w:color w:val="auto"/>
        </w:rPr>
        <w:t>We seek to consolidate the good performance of our portfolios and funds through strict risk control and an appropriate</w:t>
      </w:r>
    </w:p>
    <w:p>
      <w:pPr>
        <w:spacing w:after="0" w:line="46" w:lineRule="exact"/>
        <w:rPr>
          <w:rFonts w:ascii="Arial" w:cs="Arial" w:eastAsia="Arial" w:hAnsi="Arial"/>
          <w:sz w:val="16"/>
          <w:szCs w:val="16"/>
          <w:color w:val="auto"/>
        </w:rPr>
      </w:pPr>
    </w:p>
    <w:p>
      <w:pPr>
        <w:ind w:left="980"/>
        <w:spacing w:after="0" w:line="261" w:lineRule="auto"/>
        <w:rPr>
          <w:rFonts w:ascii="Arial" w:cs="Arial" w:eastAsia="Arial" w:hAnsi="Arial"/>
          <w:sz w:val="16"/>
          <w:szCs w:val="16"/>
          <w:color w:val="auto"/>
        </w:rPr>
      </w:pPr>
      <w:r>
        <w:rPr>
          <w:rFonts w:ascii="Arial" w:cs="Arial" w:eastAsia="Arial" w:hAnsi="Arial"/>
          <w:sz w:val="18"/>
          <w:szCs w:val="18"/>
          <w:color w:val="auto"/>
        </w:rPr>
        <w:t>level of diversification. To achieve this, we focus on improving three key aspects: investment policies, investment processes and management metrics.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ind w:left="980" w:right="2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Financial Management: </w:t>
      </w:r>
      <w:r>
        <w:rPr>
          <w:rFonts w:ascii="Arial" w:cs="Arial" w:eastAsia="Arial" w:hAnsi="Arial"/>
          <w:sz w:val="17"/>
          <w:szCs w:val="17"/>
          <w:color w:val="auto"/>
        </w:rPr>
        <w:t>We focus on providing quality financial advisory services, building customer loyalty, and encouraging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 diverse combination of securities according to their risk profile. Our objective is to improve the standards of the advisory services that our commercial bank offers and to distinguish between the levels of advisory services provided to different sectors.</w:t>
      </w:r>
    </w:p>
    <w:p>
      <w:pPr>
        <w:spacing w:after="0" w:line="1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Brokerage: </w:t>
      </w:r>
      <w:r>
        <w:rPr>
          <w:rFonts w:ascii="Arial" w:cs="Arial" w:eastAsia="Arial" w:hAnsi="Arial"/>
          <w:sz w:val="18"/>
          <w:szCs w:val="18"/>
          <w:color w:val="auto"/>
        </w:rPr>
        <w:t>We attempt to provide a timely and high quality service, offering competitive execution costs, channeling a greater proportion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traded by our companies to profitable investments and identifying opportunities for joint action (resulting in better prices), in addition to improving controls aimed at avoiding possible conflicts of interest.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Risk Analysis: </w:t>
      </w:r>
      <w:r>
        <w:rPr>
          <w:rFonts w:ascii="Arial" w:cs="Arial" w:eastAsia="Arial" w:hAnsi="Arial"/>
          <w:sz w:val="18"/>
          <w:szCs w:val="18"/>
          <w:color w:val="auto"/>
        </w:rPr>
        <w:t>We seek to identify, quantify, regulate and, ultimately, minimize the risks associated with operations, credit, market,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legal contingencies, conflict of interests and other risks. Another objective of our risk analysis is setting corporate investment limits, creating a portfolio investments risk manual, and ensuring strict compliance with risk control rules.</w:t>
      </w:r>
    </w:p>
    <w:p>
      <w:pPr>
        <w:spacing w:after="0" w:line="204" w:lineRule="exact"/>
        <w:rPr>
          <w:sz w:val="20"/>
          <w:szCs w:val="20"/>
          <w:color w:val="auto"/>
        </w:rPr>
      </w:pPr>
    </w:p>
    <w:p>
      <w:pPr>
        <w:ind w:left="1100" w:hanging="444"/>
        <w:spacing w:after="0"/>
        <w:tabs>
          <w:tab w:leader="none" w:pos="11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52" w:lineRule="exact"/>
        <w:rPr>
          <w:sz w:val="20"/>
          <w:szCs w:val="20"/>
          <w:color w:val="auto"/>
        </w:rPr>
      </w:pPr>
    </w:p>
    <w:p>
      <w:pPr>
        <w:ind w:left="1100" w:hanging="444"/>
        <w:spacing w:after="0"/>
        <w:tabs>
          <w:tab w:leader="none" w:pos="11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2010, the consolidated operations of BCP ranked first among Peruvian banks in terms of total assets (US$25.3 billion), total loans (US$13.9 billion), deposits (US$17.1 billion) and net equity (US$2.0 billion). At the end of 2010, BCP’s loans, on an unconsolidated basis, represented approximately 33.6% of the total Peruvian banking system (higher than the 33.4% registered at the end of 2009) and BCP’s deposits represented approximately 36.3% of the total Peruvian banking system (above the 34.2% reported at the end of 2009).</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2010, BCP had the largest branch network of any commercial bank in Peru with 329 branches. BCP also operates an agency in Miami and a branch in Panama. In addition, as of December 31, 2010, Edyficar had 101 offices through which it serves its clients.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and for the year ended December 31, 2010, BCP accounted for 69.8% of our total assets, 87.7% of our net income and 70.8% of our net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BCP’s operations are supervised and regulated by the SBS and the Central Bank.</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groups its client base according to the following criteria:</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41"/>
        </w:trPr>
        <w:tc>
          <w:tcPr>
            <w:tcW w:w="2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Client Segmentation</w:t>
            </w:r>
          </w:p>
        </w:tc>
      </w:tr>
      <w:tr>
        <w:trPr>
          <w:trHeight w:val="223"/>
        </w:trPr>
        <w:tc>
          <w:tcPr>
            <w:tcW w:w="25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Group</w:t>
            </w:r>
          </w:p>
        </w:tc>
        <w:tc>
          <w:tcPr>
            <w:tcW w:w="460" w:type="dxa"/>
            <w:vAlign w:val="bottom"/>
          </w:tcPr>
          <w:p>
            <w:pPr>
              <w:spacing w:after="0"/>
              <w:rPr>
                <w:sz w:val="19"/>
                <w:szCs w:val="19"/>
                <w:color w:val="auto"/>
              </w:rPr>
            </w:pPr>
          </w:p>
        </w:tc>
        <w:tc>
          <w:tcPr>
            <w:tcW w:w="6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Sales </w:t>
            </w:r>
            <w:r>
              <w:rPr>
                <w:rFonts w:ascii="Arial" w:cs="Arial" w:eastAsia="Arial" w:hAnsi="Arial"/>
                <w:sz w:val="18"/>
                <w:szCs w:val="18"/>
                <w:i w:val="1"/>
                <w:iCs w:val="1"/>
                <w:color w:val="auto"/>
                <w:w w:val="91"/>
              </w:rPr>
              <w:t>(US$MM)</w:t>
            </w:r>
          </w:p>
        </w:tc>
      </w:tr>
      <w:tr>
        <w:trPr>
          <w:trHeight w:val="216"/>
        </w:trPr>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Micro-business</w:t>
            </w:r>
          </w:p>
        </w:tc>
        <w:tc>
          <w:tcPr>
            <w:tcW w:w="460" w:type="dxa"/>
            <w:vAlign w:val="bottom"/>
            <w:shd w:val="clear" w:color="auto" w:fill="CCFFCC"/>
          </w:tcPr>
          <w:p>
            <w:pPr>
              <w:spacing w:after="0"/>
              <w:rPr>
                <w:sz w:val="18"/>
                <w:szCs w:val="18"/>
                <w:color w:val="auto"/>
              </w:rPr>
            </w:pPr>
          </w:p>
        </w:tc>
        <w:tc>
          <w:tcPr>
            <w:tcW w:w="61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Up to 0.5 or total debt of 0.2</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Small Business</w:t>
            </w:r>
          </w:p>
        </w:tc>
        <w:tc>
          <w:tcPr>
            <w:tcW w:w="460" w:type="dxa"/>
            <w:vAlign w:val="bottom"/>
          </w:tcPr>
          <w:p>
            <w:pPr>
              <w:spacing w:after="0"/>
              <w:rPr>
                <w:sz w:val="18"/>
                <w:szCs w:val="18"/>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1"/>
              </w:rPr>
              <w:t>From 0.5 to 6.6 or total debt of 1.0</w:t>
            </w:r>
          </w:p>
        </w:tc>
      </w:tr>
      <w:tr>
        <w:trPr>
          <w:trHeight w:val="216"/>
        </w:trPr>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Middle market</w:t>
            </w:r>
          </w:p>
        </w:tc>
        <w:tc>
          <w:tcPr>
            <w:tcW w:w="460" w:type="dxa"/>
            <w:vAlign w:val="bottom"/>
            <w:shd w:val="clear" w:color="auto" w:fill="CCFFCC"/>
          </w:tcPr>
          <w:p>
            <w:pPr>
              <w:spacing w:after="0"/>
              <w:rPr>
                <w:sz w:val="18"/>
                <w:szCs w:val="18"/>
                <w:color w:val="auto"/>
              </w:rPr>
            </w:pPr>
          </w:p>
        </w:tc>
        <w:tc>
          <w:tcPr>
            <w:tcW w:w="61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From 6.7 to 50</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Corporate</w:t>
            </w:r>
          </w:p>
        </w:tc>
        <w:tc>
          <w:tcPr>
            <w:tcW w:w="460" w:type="dxa"/>
            <w:vAlign w:val="bottom"/>
          </w:tcPr>
          <w:p>
            <w:pPr>
              <w:spacing w:after="0"/>
              <w:rPr>
                <w:sz w:val="20"/>
                <w:szCs w:val="20"/>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1"/>
              </w:rPr>
              <w:t>Higher than 50</w:t>
            </w: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grouping was a result of an analysis which addressed factors beyond the simple size and volume of activity for each client, such as clients’ affiliation with other companies or groups, the degree of follow-up required, and their credit ratings.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BCP’s corporate structure consists of a group of local subsidiaries offering specialized financial services, which complement BCP’s commercial banking activities. In addition to its local subsidiaries, BCP has an agency in Miami, a branch in Panama and a subsidiary in Bolivia.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2010 are as follows:</w:t>
      </w:r>
    </w:p>
    <w:p>
      <w:pPr>
        <w:spacing w:after="0" w:line="252" w:lineRule="exact"/>
        <w:rPr>
          <w:sz w:val="20"/>
          <w:szCs w:val="20"/>
          <w:color w:val="auto"/>
        </w:rPr>
      </w:pPr>
    </w:p>
    <w:p>
      <w:pPr>
        <w:jc w:val="both"/>
        <w:ind w:left="980" w:hanging="324"/>
        <w:spacing w:after="0" w:line="27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Banco de Crédito de Bolivia, or BCB, is BCP’s commercial bank in Bolivia. BCP owns 95.92% of BCB and we hold the remaining interest. Currently, BCB is the fourth largest bank in Bolivia in terms of deposits and loans market share and has a network of 66 offices located throughout Bolivia. BCB owns one of Bolivia’s largest brokerage houses, Credibolsa S.A. Agente de Bolsa, and this subsidiary owns Credifondo SAFI Bolivia, a mutual fund administrator company. BCP targets middle- and small-sized clients and offers a broad range of corporate, personal banking and leasing products. BCB’s results are consolidated in BCP’s financial statements.</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Empresa Financiera Edyficar S.A. was acquired in October 2009 and is 99.78% owned by BCP. It is engaged in micro finance in Peru.</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Credibolsa Sociedad Agente de Bolsa, or Credibolsa, was established in June 1991 and is 100% owned by BCP. It is engaged in portfolio advisory and brokerage activities in the Lima Stock Exchange.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or Credifondo, is a mutual fund management company that was established in 1994. Credifondo is 100% owned by BCP.</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Creditítulos S.A., or Creditítulos was established in 1997 and is 100% owned by BCP. Creditítulos serves as an asset securitization entity.</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It manages and promotes the sale of real estate that has been foreclosed or received in payment by BCP. Inmobiliaria BCP is 100% owned by BCP.</w:t>
      </w:r>
    </w:p>
    <w:p>
      <w:pPr>
        <w:spacing w:after="0" w:line="197"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Solución Empresa Administradora Hipotecaria S.A. was established in 1979 under the name Solución Financiera de Crédito del Perú S.A. and is 100% owned by BCP. Its business includes mortgage lending, consumer lending and SME financing. In the company’s shareholders meeting on November 19, 2009, Solución Financiera de Crédito del Perú S.A.’s shareholders decided to change the company from a finance company to a mortgage administrator company and to change the company’s name to Solución Empresa Administradora Hipotecaria S.A. These changes were necessary because, according to Peruvian Law, no person is allowed to be the owner of two financial institutions of the same type. As a result, the company will primarily engage in the administration of mortgage portfolios. These changes were approved by the SBS through resolution SBS 47-2010 on May 21, 2010.</w:t>
      </w:r>
    </w:p>
    <w:p>
      <w:pPr>
        <w:spacing w:after="0" w:line="201" w:lineRule="exact"/>
        <w:rPr>
          <w:sz w:val="20"/>
          <w:szCs w:val="20"/>
          <w:color w:val="auto"/>
        </w:rPr>
      </w:pPr>
    </w:p>
    <w:p>
      <w:pPr>
        <w:ind w:left="1100" w:hanging="444"/>
        <w:spacing w:after="0"/>
        <w:tabs>
          <w:tab w:leader="none" w:pos="11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wholesale banking group (Wholesale Banking Group), which competes with local and foreign banks, has traditionally represented the majority of BCP’s loans. BCP’s traditional relationships provide its Wholesale Banking Group with a competitive advantage.</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BCP’s Wholesale Banking Group maintained its positive trend in loan placements, posting average portfolio levels of US$6,981million (19% higher than in 2009). It also maintained its leadership in the wholesale banking market with a 40.7% stake in placements. BCP has the largest capital base among Peruvian banks, which provides it with more resources to meet the financing needs of its corporate clients.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52"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US$50 million;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profit and non-profit organizations, state-owned companies and other major institutions;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Banking and leasing, which manages BCP’s relationship with financial institutions locally and abroad, trade products, international operations services and financial leasing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interest income from the wholesale banking sector reached US$138 million in 2010 (compared to US$146 million in 2009). The results of 2009 reflected the higher interest rates associated with the risk to lend to customers during the financial crisis; however substantial economic activity in 2010 promoted competition and drove the market to charge lower interest rates in comparison to 2009 and resulted in a reduction of our income.</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continued to meet the needs of its corporate clients, helping them with short- and medium-term financing. As a result, BCP’s direct credits grew from US$4,058 million to US$5,155 million, and income from financial services increased 16%, from US$57 million to US$66 million. These increases, coupled with a very low default ratio (less than 0.1%), enabled the Corporate Banking Area to meet its financial targets with a net profit US$70 million, a decrease of 25% over the US$94 million achieved in 2009.</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Client Profile: </w:t>
      </w:r>
      <w:r>
        <w:rPr>
          <w:rFonts w:ascii="Arial" w:cs="Arial" w:eastAsia="Arial" w:hAnsi="Arial"/>
          <w:sz w:val="17"/>
          <w:szCs w:val="17"/>
          <w:color w:val="auto"/>
        </w:rPr>
        <w:t>The Corporate Banking Area is focused on serving large-sized companies that have an annual turnover of over US$50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audited financial statements and dominant market positions in their particular products or brands. Even if they do not meet the above criteria, BCP may classify other firms in this category if they belong to very large economic groups from industries that are important to the country’s economy.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Products: </w:t>
      </w:r>
      <w:r>
        <w:rPr>
          <w:rFonts w:ascii="Arial" w:cs="Arial" w:eastAsia="Arial" w:hAnsi="Arial"/>
          <w:sz w:val="16"/>
          <w:szCs w:val="16"/>
          <w:color w:val="auto"/>
        </w:rPr>
        <w:t>The Corporate Banking Area offers a broad range of products and tailors its product offerings to meet each client’s unique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general, this area is expected to offer high-value-added products and services, particularly cash management services, at competitive prices.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the Corporate Banking Area’s financing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Guarantees received by this area consist of (i) receivables in the case of sales financing, (ii) warrants or pledges on inventory in the case of inventory financing and (iii) real guarantees, in the case of financing for fixed asset acquisitions and improvements to their infrastructure.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a limited growth prospect in this business due to high market penetration (46.5%) and competition from capital markets in loans.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middle market banking area provides banking services tailored to medium-sized companies located in a variety of markets. The products offered to middle market clients resemble those offered to corporate banking clients. The three major types of products are:</w:t>
      </w:r>
    </w:p>
    <w:p>
      <w:pPr>
        <w:spacing w:after="0" w:line="19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identified several opportunities to engage middle market companies, particularly in Peru’s manufacturing, wholesale, retail, fishing and construction industries, where special emphasis has been placed and specific task areas have been created to attend to the needs of these economic groups. BCP has a middle market client portfolio of approximately 7,000 companies, including 1,118 economic groups.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2009, the middle market banking area revised its customer segmentation policies. The area now includes established (but growing) companies that will eventually become part of our corporate segment, traditional mid-size companies and a group of growing small cap companies. In selecting which small companies are best suited for service by our middle market banking area, we consider a mix of different characteristics; such as annual revenues, financial leverage, overall debt and product penetration and complexity. BCP’s middle market customers are distributed among nine regional managers nationwide and have annual revenues that vary from US$1.5 million to US$50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2009, the middle market banking area made significant progress toward implementing its strategic goals by:</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hubs to meet the needs of its customers more efficiently</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BCP opening a a customer redistribution hub in Lima, where a new business area was created;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Streamlining its lending process to provide middle market customers with prompt service;</w:t>
      </w:r>
    </w:p>
    <w:p>
      <w:pPr>
        <w:spacing w:after="0" w:line="23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Introducing new electronic financial products to make its services more accessible to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Incorporating sophisticated technical tools that assist it in analyzing risk-based pricing and profitability;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Focusing on risk based financial services revenues, which account for 50% of the total income generated by the middle market banking area.</w:t>
      </w:r>
    </w:p>
    <w:p>
      <w:pPr>
        <w:spacing w:after="0" w:line="2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internal reports, in 2010 net income from the middle market banking area decreased to US$59 million. This was the result of the more competitive interest rates that emerged as the economy grew. The middle market area’s annual average loan portfolio had 33.1% of market share, (US$2,373 million), making BCP the leading bank in its segment.</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their size, middle market companies in Peru generally do not have access to the local or international capital markets or to credit from foreign banks. In addition, we believe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Institutional Banking Area serves for-profit and non-profit organizations, including 800 clients in Lima and 300 clients in provinces. In Lima, a specialized team in wholesale banking serves governmental entities, educational institutions, religious organizations, international bodies, non-governmental organizations, and microfinance institutions. In provinces, a specialized remote wholesale banking team partners with BCP’s retail banking area to serve clients.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annual average deposit amount in BCP’s Institutional Banking Area (Lima and Provinces) reached US$2.0 billion in 2010. The Institutional Banking Area is strategically important because of the opportunities its clients present for generating income from fees and cross-selling opportunities. BCP’s strategy in this area is focused on building customer loyalty by offering customized services at competitive rates and providing outstanding service quality. The institutional banking clients mainly require remote office banking, collections and automated payroll payment services.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Banking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area of BCP’s business jointly the company’s international banking activities and recently (since June 2010) assumed the supervision of all leasing activities of the Bank.</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international banking unit focuses on providing short-term credit for international trade, which is funded with internal resources or with credit lines from foreign banks and institutions. Medium-term lines of credit funded by international commercial banks and other countries’ governmental institutions are also provided to clients. In addition, this unit earns fees by confirming guarantees issued by international banks and other fees as a result of the international payment business. The international banking unit also promotes international trade activities with its local clients by structuring trade products and services, establishing conferences and assessing customers through a wide range of trade products.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2008 the international banking unit has also been supervising the trade back office unit (International Operations). BCP maintains business relations with correspondent banks, development banks, multilateral and export credit agencies in countries around the world. At present, BCP manages credit lines for foreign trade transactions, working capital and medium- and long-term investment projects.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international market volatility during 2009 affected Peruvian trade volume, which fell 30% compared to volume in 2008. Volume of trade managed by BCP was similarly affected and its fee income dropped 12.1%. Although trade volume declined, BCP’s trade market share increased from 36.5% to 41.5% due to a shift in the usage of trade tools from “open account” to “guarantees”, where BCP is a recognized leader.</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Superintendencia Nacional de Aduanas (SUNAT), in 2010 Peruvian exports increased 31.2% to US$35.1 billion (compared to US$26.7 billion in 2009). This result was principally due to a growth in commodities exports (gold, copper, zinc and lead). During the same year (based on BCP’s internal report), BCP’s exports volume increased 42.9% to US$16.6 billion (compared to US$11.6 billion in 2009), which amounted to 47.3% of total Peruvian exports.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Peruvian imports were US$29.9 billion in 2010, increasing 37.0% from US$21.8 billion in 2009, which was primarily due to a higher demand for capital goods (industry, construction and transportation), raw materials for industry, and consumer goods. BCP’s import letters of credit, collections and transfers amounted to US$9.4 billion in 2010, increasing 44.1 % from US$6.5 billion in 2009, which amounted to 31.5% of total Peruvian imports.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It has access to a wide network of foreign correspondent banks and can offer several internationally competitive products to its customers.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At the same time BCP has been approaching the banking market to fund medium-term needs through the usage of syndicate loans structured by different international banks.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line with trade trends, China has become the second largest trade partner for Peru. In light of China’s growing influence, BCP has visited several banks and corporations in China to explore possible alternatives to intermediate trade flows, assess to Peruvian exporters and importers and Chinese investment in Peru through direct investment and trade development. In order to support this business, during 2010 BCP signed several memoranda of understanding with China’s most important financial institutions and opened an RMB account with a Chinese financial institution.</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2010, Peru had a very active leasing market. BCP, has consolidated the leasing activities developed by the bank. BCP ended 2009 with US$2 billion outstanding in this product area and 35.6% of the market share in Peru. Leasing as a way of financing became a more important tool for Peruvian companies over the course of the last year, growing from US$5.6 billion on December 31, 2009 to US$6.4 billion on December 31, 2010. BCP ended 2010 with a larger market share, 38.8%, reaching US$2.5 billion outstanding.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leasing business growth we experienced in 2010 was a product of increased investment activity in the energy, mining, communications and transport industries. As the Peruvian economy has expanded the appetite of private investors for these kinds of investments has made leasing attractive because it carries tax benefits superior to those available through traditional sources. Other activities like car sales and machinery are also contributing to the growth of this product.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Corporate Finance Area is a leading advisor to corporate, middle market and institutional clients in Peru. Our Corporate Finance team composed of over 25 executives based in Peru is the largest team of its kind in the marketplace. BCP’s Corporate Finance Area provides a wide range of investment banking and corporate finance advisory services, including structured financings, capital raisings, initial public offerings, mergers and acquisitions and corporate restructurings. In 2010, the Corporate Finance Area participated in over US$2,500 million of structured transactions, which involved financing through both the local capital market and the banking system. BCP’s Corporate Finance team is ranked first in the 2010 local debt capital market league tables having placed over US$500 million in debt instruments, which accounts for 44% of the local debt capital markets primary offers-. The main projects in 2010 included:</w:t>
      </w:r>
    </w:p>
    <w:p>
      <w:pPr>
        <w:spacing w:after="0" w:line="216" w:lineRule="exact"/>
        <w:rPr>
          <w:sz w:val="20"/>
          <w:szCs w:val="20"/>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leasing arrangement of US$310 million for EnerSur to finance its combined cycle add-on project for ChilcaUno power generation plant. This was the largest leasing transaction that has been structured and paid by a local bank;</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arrangement and placement of Transportadora de Gas del Perú and Pluspetrol Lote- 56’s corporate bonds for US$150 million and US$130 million respectively. Funds from this placement were used to finance the Camisea Project expansion.</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Medium term loan arrangements of US$35 million and US$50 million for Concesionaria Vial del Perú and Autopista del Norte to finance Peruvian roads concessions.</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Medium term loan arrangement of US$70 million for Consorcio Transmantaro to finance the construction of Chilca-La Planicie-Zapallal transmission line and the reinforcement of Mantaro-Socabaya transmission line.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syndicated term loan of US$190 million for SN Power Perú to refinance financial liabilities and partially finance the equity for Project Cheves, a 168 MW hydroelectric power plant.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Advisory and valuation services for Credicorp during the acquisition of ALICO’s shares of Pacifico Peruano Suiza and Pacifico Vida.</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syndicated term loan of US$200 million for Gold Fields La Cima.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2010, the Corporate Finance Area generated income in excess of US$19.0 million from structuring, advisory and issuance fees.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services unit is in charge of developing transactional services that handle the exchange of information among and money transfers to corporations, midsize companies, institutions and micro-business companies. This unit is responsible for both the development and marketing of transactional (or “cash management”) services for our corporate and institutional clients. We offer more than 30 products aimed at strengthening ties with clients and assuring their loyalty, as well as reducing costs using electronic channels and increasing fee income. Services managed by this unit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2010, transactional services continued to be an important contributor to our earnings. The monthly average of the number of current accounts increased 7.9% and fee revenue increased 10.2% compared to 2009. This improvement is the result of growth in the SME segment. Main collection services also increased: letters and companies’ collections commissions rose 12.6% and 24.8%, respectively, from 2009. Our strategic decision to offer value to our clients through the implementation of a more efficient service mechanism explained part of this improvement. In addition, the higher demand by clients for the remote banking service “Telecredito” generated, in terms of number of transactions, a growth of 14.5% compared to 2009. Tax collections also grew 13.5%. Likewise, the transaction volume generated by electronic factoring increased 79.9% in 2010.</w:t>
      </w:r>
    </w:p>
    <w:p>
      <w:pPr>
        <w:spacing w:after="0" w:line="201" w:lineRule="exact"/>
        <w:rPr>
          <w:sz w:val="20"/>
          <w:szCs w:val="20"/>
          <w:color w:val="auto"/>
        </w:rPr>
      </w:pPr>
    </w:p>
    <w:p>
      <w:pPr>
        <w:ind w:left="1280" w:hanging="624"/>
        <w:spacing w:after="0"/>
        <w:tabs>
          <w:tab w:leader="none" w:pos="1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BCP’s internal reports, by the end of 2010, retail banking-related loans represented 40% of BCP’s total loans, while retail banking-related deposits accounted for 52% of BCP’s total deposits. Retail income from fees constituted 62% of BCP’s total income from fees.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Between 2006 and 2007, the Retail Banking Group’s loan volumes increased by 45%, reaching US$2,898 million. During 2008, loans grew again by 28%, reaching US$3,694 million. Throughout 2009, loan balances grew by US$657 million reaching US$4,351 million. In 2010 loan balances reached US$5,322 million, growing almost US$1,000 million. This growth was a result of strong consumer lending, which includes installment loans and credit cards, home mortgages and small and micro business loans. With respect to deposits, BCP’s retail banking-related deposits has also shown constant growth. Deposits grew by 29% between 2006 and 2007, US$1,052 million in 2008, US$691 million during 2009 and US$1,247 million in 2010, reaching a total of US$9,066 million by the end of the year.</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segmentation of its retail client base, BCP is able to focus on cross-selling its products and improving per-client profitability. The Retail Banking Group has undertaken several projects to improve one-on-one marketing techniques and tools for the sale of its products to all market segments. BCP’s management expects the retail banking business to continue being one of the principal growth areas for BCP’s lending activities.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BCP’s retail banking serves individuals and small-sized companies with annual sales levels of up to US$6.7 million. BCP’s objective is to establish profitable long-term relationships with its broad client base, using segmentation strategies that satisfy the specific needs of each type of client. BCP’s retail distribution strategy changed at the beginning of 2007, when BCP started using the branch network as the center for all transactional and commercial activities. BCP now has a commercial division, in charge of most direct sales forces and the branches, which in turn are organized on a geographic level. Each branch is responsible for servicing and selling products to three customers groups: affluent, small business and consumer. In addition, each branch manager is responsible for overseeing the different channels offered within the branch, such as account managers, customer service representatives and tellers. Telemarketing, mid size business banking and real estate developer financing are not managed directly by local branches because of the specialty level and high growth potential associated with these products.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2008, BCP saw an unprecedented investment in infrastructure and human resources to support its “banking the unbanked” strategy. As a result, in 2008 and 2009, BCP experienced an explosive growth in its various channels, including 1,580 new customer contact locations (59 branches, 247 ATMs and 1,580 Agentes BCP). Demonstrating its leadership in attracting new customers, BCP now services over three and one half million customers with its network of 327 branch offices, 1,159 ATMs and 3,513 Agentes BCP (these figures do not include the customer contact locations under Edyficar’s management, which are counted separately).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Affluent Banking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Affluent customers are crucial to BCP because of their high loan and deposit volume and their attractive profitability. They receive a differentiated value plan which includes: (i) access to innovative products, (ii) dedicated customer services channels such as specialized account managers and/or expert phone banking, (iii) preferential service by tellers at the branches and (iv) special interest rates on loans. BCP’s affluent customers, totaling about 162,000, must have a good credit record and at least US$20,000 in outstanding loans in BCP or a minimum US$40,000 balance in deposits with BCP. Approximately 100,000 of the most profitable affluent clients are serviced through specialized accounts managers responsible for improving per-client profitability and achieving long-term relationships through personalized service, cross-selling and share of wallet strategies. Account managers are also responsible for new customer acquisition, particularly through mortgage loans. The affluent banking segment is very profitable, generating 45% of the retail banking group’s revenue while managing 5% of the total customer base, 44% of retail group’s loan volume and 35% of its deposit volume.</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small business segment accounts for 359,000 clients. Customers are divided into three groups with different business models, services levels, and products access. The first group is top-end small business banking, which serves approximately 10,000 clients with annual sales between US$0.5 and US$6.7 million. The next group of 248,000 small business clients has annual sales up to US$0.5 million and has debt, and the third group of approximately 100,000 clients consists of very small business customers who have only deposit products.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According to BCP’s internal reports, the Small Business Banking loan portfolio grew from US$1,006 million in 2007 to US$1,345 million in 2008 and then to US$1,546 million in 2009. By the end of 2010 the loan portfolio was US$1,984 million. In terms of deposits, this group increased deposits from US$1,027 million in 2007 to US$1,463 million in 2008 and then to US$1,637 million by 2009. In 2010 deposits grew to US$1,860 million.</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Edyficar also serves the microfinance segment, and as of December 31, 2010, it registered 285,781 clients with a total loan portfolio equivalent to US$356 million, which represented an increase of 43% compared to the level registered at the end of 2009. As of December 31, 2010, Edyficar had a client market share of 7.32%, making it fourth in terms of market share within the microfinance segment. The aggregate market share of Edyficar and BCP in the microfinance segment totaled 15.69% at the end of 2010, and combined, they have the highest market share in the microfinance segment.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Consumer banking is in charge of developing strategies for the retail customers not included in affluent banking or small business banking. Its customer base is approximately 3 million medium to low income individuals. Consumer banking focuses its attention on customers who receive their payroll through BCP (which represents slightly more than 0.9 million clients). Its strategies vary from basic acquisition of new accounts for wage-earners with special terms regarding fees and interest rates, to more sophisticated, aggressive cross-sell and retention programs that expand benefits to non-banking products (i.e., access to discounted products) and access to payroll advances. BCP has continued excelling in expanding its debit card as a form of payment, maintaining more than half of the market share in withdrawals and payments with debit cards, which is a year-to-year increase of 471,000 cards. BCP concluded 2010 with more than 3.2 million cards.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2010, BCP was the largest mortgage lender in Peru with a market share of 34.45% of total mortgage loans in the Peruvian banking system. This was largely the result of BCP’s extensive marketing campaigns and its improvements in the quality of procedures for extending credit and establishing guarantees.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expects the mortgage lending business to continue to grow because of:</w:t>
      </w:r>
    </w:p>
    <w:p>
      <w:pPr>
        <w:spacing w:after="0" w:line="252" w:lineRule="exact"/>
        <w:rPr>
          <w:sz w:val="20"/>
          <w:szCs w:val="20"/>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 levels of penetration in the financial market,</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increasing demand for housing,</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funds for the Peruvian government’s MiVivienda low-income housing program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current economic outlook for controlled inflation and economic growth in Peru.</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had US$1,905 million in outstanding mortgage loans as of December 31, 2010 (as compared to US$1,571 million in 2009, US$1,330 million in 2008, US$1,105 million in 2007 and US$868 million for year-end 2006).</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of US$60,000 on the value of the house to be purchased. BCP will finance up to 90% of the appraised value of a property where monthly mortgage payments do not exceed 30% of the client’s stable net income. The maximum maturity of the mortgage loans BCP offers is 25 years, in U.S. Dollars, and 25 years, in local currency. Within the mortgage lending business, BCP offers variable, fixed and LIBOR-based interest rates on home mortgage loans denominated in both U.S. Dollars and Nuevos Soles. However, BCP’s mortgage portfolio is predominantly fixed rate and U.S. Dollar-denominated.</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2006, the original MiVivienda program was terminated. However, local banks (with government’s approval) launched a similar project, known as MiVivienda2, to which proprietary funds contribute. In addition, in March 2007, BCP created a new program financed by the government called Mi Hogar, which targeted people with a lower income profile. The conditions of the new program are almost identical to those of the first MiVivienda program, except that financing is in local currency. In June 2009, the MiVivienda administration decided to re-launch its new MiVivienda program with the objective of financing mortgages between US$17,000 and US$60,000 with government funds. Simultaneously, they re-launched their product, Techo Propio, to finance mortgages between US$7,000 and US$17,000. In both cases, the programs are intended to develop social housing in the country. In 2010, nearly 12,000 MiVivienda credits were sold, 35% of which were sold through BCP.</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and merchant processing, finance and penalty charges on credit cards.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Peru’s economic growth has had a huge impact on the consumer credit market, which grew by a total of 30% during 2008, 7% during 2009 and 15% between 2009 and 2010. The outstanding balance is US$1,607 million, consisting of US$590 million in credit card loans and US$1,050 million in installment loans. BCP’s market share in consumer lending has consistently increased since 2007, 2008 and 2009 from 17.9% to 19.2% to 20.6%. In 2010 market share was 20.7%. This growth in consumer lending was achieved while maintaining a ratio of delinquent accounts below 4% (over 30 days).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Between 2007 and 2008, installment loans experienced an unprecedented growth of US$211 million in outstanding balances, a 43% increase, and during 2009 and 2010 installment loans grew yet another 16% and 17%. This result was due, in part, to BCP’s strategic change which was designed to broaden its customer base since 25% of BCP’s new loans came from customers with a monthly gross income of less than US$400.</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credit card business, BCP continued to apply segmented strategies. BCP continues to offer value to its high-end customers through partnerships with the airline LAN and with Primax, a chain of gas stations. These programs, coupled with BCP’s own travel program, enabled it to reach record levels, both in point generation and point usage (exchanges). To catch the attention of the lower income segment, BCP worked on streamlining its risk assessment, card delivery process and generate partnerships with other retailers.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been continuously improving monitoring and optimizing its scoring models, which includes, among others, behavior, payments and income forecasting. As a result, BCP has achieved a US$58 million increase in outstanding balances in 2008 and US$97 million in 2009. According to BCP’s internal records, the number of active credit cards has constantly increased from 325,000 in 2006 to 387,000 in 2007 to 430,000 in 2008, to 446,000 in 2009 and to 580,000 in 2010. In addition, annual purchases have increased from US$592 million in 2006 to US$868 million in 2007, to US$1,131 million in 2008, US$1,203 million in 2009 and US$1,525 million in 2010.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is also the largest shareholder of VISANET in Peru, holding approximately 35.53% of its total shares. The number of VISANET electronic payment terminals grew to approximately 68,362 in 2010, as compared to 28,816 in 2006.</w:t>
      </w:r>
    </w:p>
    <w:p>
      <w:pPr>
        <w:spacing w:after="0" w:line="193" w:lineRule="exact"/>
        <w:rPr>
          <w:sz w:val="20"/>
          <w:szCs w:val="20"/>
          <w:color w:val="auto"/>
        </w:rPr>
      </w:pPr>
    </w:p>
    <w:p>
      <w:pPr>
        <w:ind w:left="1260" w:hanging="604"/>
        <w:spacing w:after="0"/>
        <w:tabs>
          <w:tab w:leader="none" w:pos="1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Asset Management Group</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as well as treasury, custody and trust, investment advisory services, and general research activities.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products are distributed through its subsidiaries and branches. BCP’s close relationship and coordination with its subsidiaries has established BCP as the market leader in the capital markets business.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Credibolsa is BCP’s brokerage subsidiary through which BCP offers a wide variety of variable and fixed-income products and services. Credibolsa’s activities include the structuring and placement of primary market issues and the execution and trading of secondary market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by Credifondo include short/long term, U.S. Dollar and local currency and fixed/variable income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2010, markets recovered strongly after the international financial crisis. The Lima Stock Exchange General Index (IGBVL) experienced an increase of 69.8%.</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Credibolsa maintained its leadership position in the Lima Stock Exchange with a 18.2% the market share as a result of a trading volume that reached US$2,444 million in 2010. Credibolsa was also the number one stock broker for initial offerings, issuing a total of S/. 300 million and US$434 million in fixed income, representing a 50% market share.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firstLine="648"/>
        <w:spacing w:after="0" w:line="286" w:lineRule="auto"/>
        <w:rPr>
          <w:sz w:val="20"/>
          <w:szCs w:val="20"/>
          <w:color w:val="auto"/>
        </w:rPr>
      </w:pPr>
      <w:r>
        <w:rPr>
          <w:rFonts w:ascii="Arial" w:cs="Arial" w:eastAsia="Arial" w:hAnsi="Arial"/>
          <w:sz w:val="17"/>
          <w:szCs w:val="17"/>
          <w:color w:val="auto"/>
        </w:rPr>
        <w:t>BCP’s management believes that Credibolsa will continue expanding its business based on its ability to provide appropriate advice to clients while offering various products that meet their requirements. Furthermore, BCP’s wholesale banking marketing represents an important strength that allows it to reach main companies in the local market, while BCP’s branch network helps to expand its business in the retail banking segment.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It has also been active in the auctions of certificates of deposit by Peru’s central bank as well as in financings through certificates of deposit, interbank transactions and guaranteed negotiable notes, among other instruments.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2007, BCP has adhered to the best international cash management practices. BCP created the Assets and Liabilities Management Service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ALM) which is responsible for managing its balance sheet under the Asset and Liabilities Committee (or ALCO) oversight. ALM is responsible for managing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BCP’s balance sheet and for accepting reasonable interest rate and liquidity risks through management of the short- and long-term transfer rates.</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proprietary trading consists of trading and short-term investments in securities, which includes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Credifondo S.A., Sociedad Administradora de Fondos, or Credifondo, provides advice to and operates mutual funds in Peru. It is the largest mutual fund manager in Peru based upon data from the Peruvian securities market authority, the Comisión Nacional Supervisora de Empresas y Valores (CONASEV). As of December 31, 2010, total Peruvian funds in the mutual funds system amounted to US$5.59 billion, increasing 15.0% from US$4.86 billion in 2009.</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CONASEV, as of December 31, 2010, Credifondo managed ten separate funds, with a total of 92,626 participants (33.1% of total participants) compared to 102,211 in 2009. Among the securities in which the different funds specialize are: equities, U.S. Dollar-denominated bonds, Nuevo Sol-denominated bonds and U.S. Dollar-denominated short-term securities. As of December 31, 2010, Credifondo’s total funds under management amounted to US$2,370 million, increasing from US$1,929 million – 22.9% – as of December 31, 2009. Because these funds are subject to certain volatility, there can be no assurance as to their future performance. As a result, we do not guarantee any return on these investments.</w:t>
      </w:r>
    </w:p>
    <w:p>
      <w:pPr>
        <w:spacing w:after="0" w:line="2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2010, the Bolivian fund administrator managed a total of US$102.6 million of third-party funds dropping 26.6% from December 31, 2009.</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BCP holds US$26.5 billion in securities. BCP provides custody services that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w:t>
      </w:r>
    </w:p>
    <w:p>
      <w:pPr>
        <w:spacing w:after="0" w:line="208"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escrow,</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and representation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supervision of transactions completed for its clients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 settlement and payment services for local securities issues.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services allow BCP to adequately represent its clients’ activities in the local and international securities markets.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 Fiduciaria S.A., or Fiduciaria, is an associated entity and the first specialized trust services company in Peru. We hold a 45% interest in Fiduciaria. In its eighth year of existence, Fiduciaria has managed trusts for a majority of the institutions in the national financial system, putting itself at the forefront of fiduciary services in Peru. Fiduciaria’s operations encompass sectors including energy, communications, mining, tourism, fishing, education and construction. Fiduciaria ended 2010 with 231 outstanding operations.</w:t>
      </w: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left="1280" w:hanging="624"/>
        <w:spacing w:after="0"/>
        <w:tabs>
          <w:tab w:leader="none" w:pos="1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uniform credit policies and approval and review procedures are based upon conservative criteria and are uniformly applied to all of its subsidiaries. These policies are in accordance with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 and the guidelines set forth by our board of directors.)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approval process is based primarily on an evaluation of the borrower’s repayment capacity and on commercial and banking references. BCP determines a corporate borrower’s repayment capacity by analyzing the historical and projected financial condition of the company and of the industry in which it operates. Other important factors that BCP analyzes include the company’s current management, banking references, past experiences in similar transactions, and collateral to be provided.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evaluation of BCP’s corporate borrowers, credit officers prepare a risk assessment report, which analyzes the client’s ability to repay its obligations, determines the probability of default of the client using an internal risk rating model, and defines the maximum credit exposure that BCP wants to hold with the company.</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BCP’s individual and small business borrowers, it evaluates credits based on the client’s capacity for repayment, a documented set of policies (regarding the client’s financial track record among other issues), and in most cases, credit scores, which assign loan-loss probabilities that relate to expected returns of each market segment. Approximately 80% of BCP’s credit card, consumer, mortgage, and small business loan application decisions are made by automatic systems. The complement is decided by credit officers reporting to a centralized unit.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Success in the small business and personal lending areas depends largely on BCP’s ability to obtain reliable credit information about prospective borrowers. BCP, together with several partners, formed a credit research company called Infocorp in November 1995 (currently managed by Equifax). In addition, the SBS has expanded its credit exposure database service to cover all businesses or individuals with any amount borrowed from a Peruvian financial institution. This database includes information on the loan risk category in which the borrowers are classified: “Normal,” “Potential Problem,” “Substandard,” “Doubtful” and “Loss.”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It also has procedures to ensure that these limits are adhered to before a loan is disbursed. Under BCP’s credit approval process, the lending authority for middle market, small business, and personal loans is centralized into a specialized credit risk analysis area, whose officers have been granted lending limits. To ensure that loan officers and credit analysis officers are complying with their lending authority, the credit department and BCP’s internal auditors regularly examine credit approvals, in addition to the controls built into the loan approval workflow systems.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board of directors.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Risk without collateral or with</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only personal collateral or</w:t>
            </w:r>
          </w:p>
        </w:tc>
        <w:tc>
          <w:tcPr>
            <w:tcW w:w="24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Risk with preferred</w:t>
            </w:r>
          </w:p>
        </w:tc>
      </w:tr>
      <w:tr>
        <w:trPr>
          <w:trHeight w:val="237"/>
        </w:trPr>
        <w:tc>
          <w:tcPr>
            <w:tcW w:w="4940" w:type="dxa"/>
            <w:vAlign w:val="bottom"/>
            <w:gridSpan w:val="2"/>
          </w:tcPr>
          <w:p>
            <w:pPr>
              <w:spacing w:after="0"/>
              <w:rPr>
                <w:sz w:val="20"/>
                <w:szCs w:val="20"/>
                <w:color w:val="auto"/>
              </w:rPr>
            </w:pPr>
            <w:r>
              <w:rPr>
                <w:rFonts w:ascii="Arial" w:cs="Arial" w:eastAsia="Arial" w:hAnsi="Arial"/>
                <w:sz w:val="18"/>
                <w:szCs w:val="18"/>
                <w:color w:val="auto"/>
              </w:rPr>
              <w:t>In US$ thousands</w:t>
            </w:r>
          </w:p>
        </w:tc>
        <w:tc>
          <w:tcPr>
            <w:tcW w:w="1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6"/>
              </w:rPr>
              <w:t>guarantee</w:t>
            </w:r>
          </w:p>
        </w:tc>
        <w:tc>
          <w:tcPr>
            <w:tcW w:w="2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guarantees (1)</w:t>
            </w: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160" w:type="dxa"/>
            <w:vAlign w:val="bottom"/>
            <w:shd w:val="clear" w:color="auto" w:fill="CCFFCC"/>
          </w:tcPr>
          <w:p>
            <w:pPr>
              <w:spacing w:after="0"/>
              <w:rPr>
                <w:sz w:val="18"/>
                <w:szCs w:val="18"/>
                <w:color w:val="auto"/>
              </w:rPr>
            </w:pPr>
          </w:p>
        </w:tc>
        <w:tc>
          <w:tcPr>
            <w:tcW w:w="220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Regulatory limit</w:t>
            </w:r>
          </w:p>
        </w:tc>
        <w:tc>
          <w:tcPr>
            <w:tcW w:w="240" w:type="dxa"/>
            <w:vAlign w:val="bottom"/>
            <w:shd w:val="clear" w:color="auto" w:fill="CCFFCC"/>
          </w:tcPr>
          <w:p>
            <w:pPr>
              <w:spacing w:after="0"/>
              <w:rPr>
                <w:sz w:val="18"/>
                <w:szCs w:val="18"/>
                <w:color w:val="auto"/>
              </w:rPr>
            </w:pPr>
          </w:p>
        </w:tc>
        <w:tc>
          <w:tcPr>
            <w:tcW w:w="15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Regulatory limit</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Executive Committee</w:t>
            </w:r>
          </w:p>
        </w:tc>
        <w:tc>
          <w:tcPr>
            <w:tcW w:w="1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US$ 197,414</w:t>
            </w:r>
          </w:p>
        </w:tc>
        <w:tc>
          <w:tcPr>
            <w:tcW w:w="2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US$ 197,414</w:t>
            </w: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General Manager</w:t>
            </w:r>
          </w:p>
        </w:tc>
        <w:tc>
          <w:tcPr>
            <w:tcW w:w="160" w:type="dxa"/>
            <w:vAlign w:val="bottom"/>
            <w:shd w:val="clear" w:color="auto" w:fill="CCFFCC"/>
          </w:tcPr>
          <w:p>
            <w:pPr>
              <w:spacing w:after="0"/>
              <w:rPr>
                <w:sz w:val="18"/>
                <w:szCs w:val="18"/>
                <w:color w:val="auto"/>
              </w:rPr>
            </w:pPr>
          </w:p>
        </w:tc>
        <w:tc>
          <w:tcPr>
            <w:tcW w:w="2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US$ 60,000</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US$ 60,000</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Credit Group Manager</w:t>
            </w:r>
          </w:p>
        </w:tc>
        <w:tc>
          <w:tcPr>
            <w:tcW w:w="1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US$ 13,500</w:t>
            </w:r>
          </w:p>
        </w:tc>
        <w:tc>
          <w:tcPr>
            <w:tcW w:w="2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US$ 27,000</w:t>
            </w: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160" w:type="dxa"/>
            <w:vAlign w:val="bottom"/>
            <w:shd w:val="clear" w:color="auto" w:fill="CCFFCC"/>
          </w:tcPr>
          <w:p>
            <w:pPr>
              <w:spacing w:after="0"/>
              <w:rPr>
                <w:sz w:val="18"/>
                <w:szCs w:val="18"/>
                <w:color w:val="auto"/>
              </w:rPr>
            </w:pPr>
          </w:p>
        </w:tc>
        <w:tc>
          <w:tcPr>
            <w:tcW w:w="2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US$ 4,500</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US$ 14,400</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Credit Risk Chiefs</w:t>
            </w:r>
          </w:p>
        </w:tc>
        <w:tc>
          <w:tcPr>
            <w:tcW w:w="1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US$ 1,800</w:t>
            </w:r>
          </w:p>
        </w:tc>
        <w:tc>
          <w:tcPr>
            <w:tcW w:w="2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US$ 5,400</w:t>
            </w: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Retail Credit Risk Manager</w:t>
            </w:r>
          </w:p>
        </w:tc>
        <w:tc>
          <w:tcPr>
            <w:tcW w:w="160" w:type="dxa"/>
            <w:vAlign w:val="bottom"/>
            <w:shd w:val="clear" w:color="auto" w:fill="CCFFCC"/>
          </w:tcPr>
          <w:p>
            <w:pPr>
              <w:spacing w:after="0"/>
              <w:rPr>
                <w:sz w:val="18"/>
                <w:szCs w:val="18"/>
                <w:color w:val="auto"/>
              </w:rPr>
            </w:pPr>
          </w:p>
        </w:tc>
        <w:tc>
          <w:tcPr>
            <w:tcW w:w="2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US$ 1,200</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1"/>
              </w:rPr>
              <w:t>US$ 2,000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mortgages, non-real estate property guarantees and assets generated by leasing operations. The limit for the Executive Committee is 10% of the Regulatory Capital of BCP as of December 2010, which equaled US$1,974,142 thousand.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Laterally-hired officers are generally required to have previously held positions as loan officers.</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In general, BCP is a secured lender. As of December 31, 2010, approximately US$7.4 billion of our loan portfolio and contingent credits were secured by collateral, which represents 45.4% of the total loan portfolio based upon our unconsolidated figures, as compared to 47.9% in 2009 and 41.7% in 2008.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193" w:lineRule="exact"/>
        <w:rPr>
          <w:sz w:val="20"/>
          <w:szCs w:val="20"/>
          <w:color w:val="auto"/>
        </w:rPr>
      </w:pPr>
    </w:p>
    <w:p>
      <w:pPr>
        <w:ind w:left="1280" w:hanging="624"/>
        <w:spacing w:after="0"/>
        <w:tabs>
          <w:tab w:leader="none" w:pos="1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CTS deposits amount to one month’s salary per year and may be withdrawn by the employee only upon termination of employment or upon transfer to another bank, subject to certain exceptions. Exceptions include disposing of 40% of the CTS deposit made in May 2010 and 30% of CTS deposit made in November 2010. For the year 2011, employees may dispose 70% of the excess of six gross monthly remunerations.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2010, deposits represented 70.9% of BCP’s total source funding. BCP’s extensive branch network facilitates access to this type of stable and low-cost funding. BCP’s corporate clients are also an important source of funding for BCP.</w:t>
      </w:r>
    </w:p>
    <w:p>
      <w:pPr>
        <w:spacing w:after="0" w:line="193" w:lineRule="exact"/>
        <w:rPr>
          <w:sz w:val="20"/>
          <w:szCs w:val="20"/>
          <w:color w:val="auto"/>
        </w:rPr>
      </w:pPr>
    </w:p>
    <w:p>
      <w:pPr>
        <w:ind w:left="1280" w:hanging="624"/>
        <w:spacing w:after="0"/>
        <w:tabs>
          <w:tab w:leader="none" w:pos="1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BCP’s commercial banking operations are supported by its risk area, which evaluates and helps administer credit relationships, establishes credit policies and monitors credit risk. </w:t>
      </w:r>
      <w:r>
        <w:rPr>
          <w:rFonts w:ascii="Arial" w:cs="Arial" w:eastAsia="Arial" w:hAnsi="Arial"/>
          <w:sz w:val="18"/>
          <w:szCs w:val="18"/>
          <w:i w:val="1"/>
          <w:iCs w:val="1"/>
          <w:color w:val="auto"/>
        </w:rPr>
        <w:t>See</w:t>
      </w:r>
      <w:r>
        <w:rPr>
          <w:rFonts w:ascii="Arial" w:cs="Arial" w:eastAsia="Arial" w:hAnsi="Arial"/>
          <w:sz w:val="18"/>
          <w:szCs w:val="18"/>
          <w:color w:val="auto"/>
        </w:rPr>
        <w:t xml:space="preserve"> “—(4) BCP and Subsidiaries—(v) Lending Policies and Procedures.”</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is a technology leader in the Peruvian banking sector. All of BCP’s retail banking group services and a substantial portion of BCP’s corporate banking services are fully computerized. All of BCP’s points of service, including branches, ATMs and POS terminals, are linked to BCP’s data processing center, which permits BCP to monitor and analyze service while allowing most transactions to be executed on a real-time, online basis.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 considers its technology platform to be one of its main competitive strengths and has continued to invest in this area to maintain its competitive position in the banking sector. During 2010 BCP’s expenses on systems totaled US$136.2 million (US$117.0 million corresponded to recurrent expenses and US$19.2 million to projects), higher than the expenses registered in 2009 of US$120.7 million, and above the US$97.9 million of 2008. BCP’s investments totaled US$51.9 million in 2010, above the US$50.9 million recorded in 2009 but below the US$60.9 million reported for 2008. The total investment was related to large projects for a total of US$28.4 million and to small projects for an amount of US$23.5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continually works to protect and strengthen the BCP brand. BCP has a proactive attitude towards competition and is focused on change and innovation. The company promotes its products and services by constantly improving them. In this manner, BCP aims to grow and be a leader in every retail market by offering the highest possible value for its clients and shareholders. In 2010, BCP continued its strategy which was based on generating value.</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jc w:val="both"/>
        <w:ind w:firstLine="715"/>
        <w:spacing w:after="0" w:line="342" w:lineRule="auto"/>
        <w:rPr>
          <w:sz w:val="20"/>
          <w:szCs w:val="20"/>
          <w:color w:val="auto"/>
        </w:rPr>
      </w:pPr>
      <w:r>
        <w:rPr>
          <w:rFonts w:ascii="Arial" w:cs="Arial" w:eastAsia="Arial" w:hAnsi="Arial"/>
          <w:sz w:val="16"/>
          <w:szCs w:val="16"/>
          <w:color w:val="auto"/>
        </w:rPr>
        <w:t>BCP continued to develop strategies to approach different retail customer groups. BCP’s increasing use of Customer Relationship Management (CRM) tools across all segments enabled it to proactively reach customers and provide them with personalized offers and terms, in a timely manner.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Another key element for BCP to create value is innovation. BCP has launched several innovative products, including new service products for wealthy customers and new benefits for customers whose wages are paid directly into their BCP accounts. BCP also innovates by transforming the way it operates throughout the organization, achieving internally, leaner and more efficient processes and externally, an enhanced experience for our customers. During 2009 and 2010 leaner processes were implemented by making adjustments to branch layouts, tellers, ATM cash management and mortgage lending.</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Quality service is a permanent goal for BCP and the company aims to proactively meet or exceed regulations promulgated under the Consumer Protection Law. BPC has made significant investments in improving service and keeping customers informed about its products and services, with a special focus on reducing the sources of claims.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Achieving greater operational efficiency is an essential part of BCP’s growth strategy, and BCP is committed to improving efficiency by streamlining its processes. One of the main initiatives the company advanced in 2009 and in 2010 was “Lean Project”, which aimed at increasing the satisfaction of BCP’s clients by enhancing business-origination processes based on the “Lean” methodology.</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2010, the Lean Project continued to be implemented in “waves” covering the SME, Foreign Trade and Consumer loans segments. In Expedition and Demand Management, the Lean Project helped improve the Bank’s efficiency ratio and encouraged continued improvement in that division.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two years, 14 processes were successfully analyzed. Some of the most relevant general results included the following:</w:t>
      </w:r>
    </w:p>
    <w:p>
      <w:pPr>
        <w:spacing w:after="0" w:line="252"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in productivity of between 32% and 147%,</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Reduction of times from the client’s perspective (waiting time, credit application processing time, among few others) of between 29% and 65%, and</w:t>
      </w: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Reduction of waiting times by 68%.</w:t>
      </w:r>
    </w:p>
    <w:p>
      <w:pPr>
        <w:spacing w:after="0" w:line="234" w:lineRule="exact"/>
        <w:rPr>
          <w:sz w:val="20"/>
          <w:szCs w:val="20"/>
          <w:color w:val="auto"/>
        </w:rPr>
      </w:pPr>
    </w:p>
    <w:p>
      <w:pPr>
        <w:ind w:left="1280" w:hanging="579"/>
        <w:spacing w:after="0"/>
        <w:tabs>
          <w:tab w:leader="none" w:pos="1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Anti-Money Laundering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enterprise wide compliance program, BCP and all the companies under our group have adopted policies and procedures for “know your customer,” “know your market,” “know your correspondent bank” and “know your employee” as an integral part of our anti-money laundering program. All employees corporation-wide are required to follow these policies and procedures which have been endorsed by the Board of Directors, the Chief Executive Officer and the Corporate Compliance Officer.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corporate compliance officer is responsible for the monitoring and oversight of the program and coordinates with the compliance officers of each of the foreign branches (BCP Panama and BCP Miami), affiliates (PPS, Atlantic Security Bank and Credicorp Securities) and foreign subsidiaries (BCP Bolivia). These institutions must comply with all regulatory laws established in the countries in which they operate, in addition to corporate policies and procedures and GAFI recommendations. Under Peruvian law, BCP must notify the SBS if any of its branches, affiliates or subsidiaries abroad are unable to meet any requirements imposed by the aforementioned entities.</w:t>
      </w:r>
    </w:p>
    <w:p>
      <w:pPr>
        <w:spacing w:after="0" w:line="21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Financial Intelligence Unit is the governmental entity responsible for receiving, analyzing and disseminating suspicious transaction reports filed by obligated entities. It was created under Law 27693 in April of 2002, as amended by Laws 28009 and 28306, and incorporated under Law 29038 in June 2007 as a specialized unit of the SBS. The Financial Intelligence Unit is autonomous, both functionally and technically.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of the main banking regulations, Law 838-2008, requires that all financial institutions supervised by the SBS have an anti-money laundering and terrorist financing compliance program that includes adequate policies, monitoring of client operations, evaluation of red flags, registration of all cash operations and a training program for all staff.</w:t>
      </w:r>
    </w:p>
    <w:p>
      <w:pPr>
        <w:spacing w:after="0" w:line="204" w:lineRule="exact"/>
        <w:rPr>
          <w:sz w:val="20"/>
          <w:szCs w:val="20"/>
          <w:color w:val="auto"/>
        </w:rPr>
      </w:pPr>
    </w:p>
    <w:p>
      <w:pPr>
        <w:ind w:left="1280" w:hanging="579"/>
        <w:spacing w:after="0"/>
        <w:tabs>
          <w:tab w:leader="none" w:pos="1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2010, BCP had 16,148 employees (including 1,693 employees from Edyficar) compared to 16,748 employees as of December 31, 2009 and 15,969 employees as of December 31, 2008.</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1260" w:hanging="604"/>
        <w:spacing w:after="0"/>
        <w:tabs>
          <w:tab w:leader="none" w:pos="12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ASHC is a holding corporation that engages in private banking, asset management and proprietary investment. ASHC was incorporated in December 1981 in the Cayman Islands and principally serves Peruvian-based customers through Atlantic Security Bank (ASB), a wholly-owned subsidiary. ASB is a Cayman Islands licensed bank with offices in Panama through which ASHC conducts all commercial business. ASHC’s balance sheet is virtually identical to ASB’s, with the exception of approximately 14.6 million Credicorp shares directly held by ASHC.</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2010, ASHC had total assets of US$1,400.8 million and shareholders’ equity of US$265.8 million (compared with US$1,484.8 million and US$239.8 million, respectively, as of December 31, 2009). ASHC reported a net profit of US$73.4 million in 2009, compared with a net loss of US$54.1 million in 2009. Adjusting for dividend income from Credicorp that is not reflected in consolidated results, ASHC’s net income contribution increased from US$29.74 million in 2009 to US$48.5 million in 2010. All income other than Credicorp dividends was generated by ASB.</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ASB’s clients have traditionally provided a stable funding source, as many are long-time clients who roll-over deposits on a permanent basis. As of December 31, 2010, ASB had approximately 4,000 clients, 95% of whom are Peruvian. ASB deposits at year-end 2010 reached US$1,117.7 million, down 10% from US$1,230.4 million as of December 31, 2009.</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trades on its own account primarily by making medium-term investments in investment grade fixed-income securities and sovereign debt. Non-investment grade fixed-income securities represent a distant second in terms of portfolio allocation, while equity and hedge-fund positions, though present, are even less relevant. As of December 31, 2010, ASB had US$751.6 million at fair value, compared to US$797.2 million in 2009. In addition to ASB’s portfolio, ASHC also holds an equity investment in Credicorp with a fair value of approximately US$1,738,6 million as of December 31, 2010 (compared to US$1,124.2 million as of December 31, 2009).</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Third-party Asset management is an important activity for ASB. Total assets under management reached US$3,177.7 million as of December 31, 2010, compared to US$2,177.0 million as of December 31, 2009. These assets cover the range from direct unsolicited securities to ASB managed mutual funds.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also maintains a sizable loan portfolio. Total loans outstanding were US$470.4 million and US$525.5 million for 2010 and 2009, respectively. Between 85% and 95% of these loans were guaranteed by client’s deposits or investments. For the year-ended 2010, for example, only US$18.2 million were unsecured loans. This high level of securitization is reflected in ASB’s low level of non-performing loans, consistently much less than 1% of total loan portfolio. The overwhelming majority of ASB’s loans are granted to Peruvian nationals and companies, while those that are not are directed exclusively to Latin American borrowers.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ASB’s overall investment strategy, general profile of its investment portfolio and specific investment decisions are reviewed on a weekly basis by an investment committee. Its credit risk by counterparty, including direct and indirect risk, is evaluated on a consolidated basis and covers all activities that generate credit exposure such as interbank placements, commercial loans and securities investment. Market, Liquidity and Operational risks are monitored by ASB’s Risk Management Unit, which in turn reports to and is supervised by a Corporate Risk Committee, an Asset-Liability Committee and the Board of Directors.</w:t>
      </w:r>
    </w:p>
    <w:p>
      <w:pPr>
        <w:spacing w:after="0" w:line="211" w:lineRule="exact"/>
        <w:rPr>
          <w:sz w:val="20"/>
          <w:szCs w:val="20"/>
          <w:color w:val="auto"/>
        </w:rPr>
      </w:pPr>
    </w:p>
    <w:p>
      <w:pPr>
        <w:ind w:left="1280" w:hanging="624"/>
        <w:spacing w:after="0"/>
        <w:tabs>
          <w:tab w:leader="none" w:pos="1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our insurance activities through Pacifico Peruano Suiza (PPS) and its subsidiaries, El Pacifico Vida and Pacifico Salud, which together make up Pacifico Insurance Group (PPS), providing a broad range of insurance products in the property and casualty, life and health businesses. In 2010, the eight most significant business lines collectively generated 81.9% of total premiums written by PPS. These business lines consisted of health, automobile, life and pension fund underwriting life annuities and commercial property damage (including fire, earthquake and allied lines and limited liability risks). PPS is the second leading Peruvian insurance company, including private health companies, with a market share of 30.9% based on direct premiums earned in 2010.</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2010, PPS contributed a consolidated net gain of US$47.4 million compared to a net gain of US$37.4 million in 2009. PPS’s total premiums increased 23.5% to US$751.9 million during 2010 from US$608.8 million in 2009, and net premiums earned, net of reinsured premiums and of technical reserves (as defined below in “―(ii) Claims and Reserves”), were US$496.0 million in 2010, increasing 12.9% compared to 2009.</w:t>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PPS’s net underwriting result increased from a gain of US$79.9 million in 2009 to a gain of US$93.4 million in 2010. This rise in PPS’s underwriting result is primarily due to the decrease of net claims paid as a percentage of net premiums written from 65.2% in 2009 to 63.6% in 2010.</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both"/>
        <w:ind w:firstLine="648"/>
        <w:spacing w:after="0" w:line="293" w:lineRule="auto"/>
        <w:rPr>
          <w:sz w:val="20"/>
          <w:szCs w:val="20"/>
          <w:color w:val="auto"/>
        </w:rPr>
      </w:pPr>
      <w:r>
        <w:rPr>
          <w:rFonts w:ascii="Arial" w:cs="Arial" w:eastAsia="Arial" w:hAnsi="Arial"/>
          <w:sz w:val="16"/>
          <w:szCs w:val="16"/>
          <w:color w:val="auto"/>
        </w:rPr>
        <w:t>PPS’s business in property and casualty and private health is highly concentrated, with a client base of over 30,000 companies and over 611,000 individuals in the property and casualty and health insurance programs, including individuals affiliated with group health insurance programs through the companies by which they are employed. As of December 2010, revenues from policies written for PPS’s three largest and 20 largest customers represented 7.8% and 27.7% of total premiums in its property and casualty and health insurance businesses, respectively. PPS’s property insurance lines are sold through agents and brokers, while life insurance is sold by its own sales force. The 10 largest brokers in the property and casualty as well as in the private health segment accounted for approximately 43.9% of total premiums as of December 31, 2010 (compared to 43.5% as of December 31, 2009).</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El Pacífico Vida (Pacífico Vida) is PPS’s life insurance subsidiary. In 2010, Pacífico Vida reached total premiums of US$277 million, a 46% increase from total premiums of US$189 million in 2009.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Pacifico Vida reported a 24.4% market share based on direct premiums earned in 2010. During 2010 Pacifico Vida’s total direct premiums amounted to US$276.6 million, a 46.5% increase from the figure recorded in 2009 (US$188.9 million). This increase is primarily a result of higher premiums reported in Individual Annuity (128.1%), Disability and Survivor (42.8%) and Credit Life (40.8%) lines. PPS’s performance in these areas was consistent with the improved performance of the life insurance market overall.</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Individual Life premiums increased in 16.8% compared to the prior year, exceeding the 8.8% market rise. This result was mainly due to the sale of our Premium Life Max and Pacifico Ahorro Vida products, our improved quality of sales service and the steady development of our distribution channels, which includes our main channel, the agencies, and our Bancassurance, Brokers, Sponsors and Part Time channels. As a result, we had 37.8% market share, leading the segment.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Group Life business, the premiums closed 11% above prior year, mainly in SCTR (+20% above 2009) and Vida Ley (+13.3%) lines. This growth was primarily the result of microeconomic gains experienced across the country, the higher number of formal businesses and the solid development of the mining and construction industry.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Individual Annuity line increased in 128.1% compared to the prior year 2009. This improvement was mainly due to a recently approved Early Retirement Regime, which began to quote in March 2010.</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Disability and Survivor business, our premiums closed 42.8% above the prior year’s premium while the overall market increased 30.5%. We now lead in this segment with a market share of 30.7%. This growth is primarily a result of higher insurance rates (1.06% in 2010 vs. 0.87% in 2009).</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the Credit Life line, which also involves credit cards and mortgage loans, increased its premiums by 40.7% from the end of 2009 to the end of 2010. PPS now has the highest market share in this area with a 27% share. PPS’s strong performance is a product of its partnership with Banco de Crédito (BCP), which allows PPS to access the largest bancassurance channels in Peru.</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Pacífico Vida generated earnings of US$33.9 million in 2010.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Pacífico Salud reported total revenue of US$146.4 million and net gain of US$6.4 million in 2010 mainly due to an increase in written premiums.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loss ratio decreased to 78.8% in 2010 from 84.6% in 2009.</w:t>
      </w:r>
    </w:p>
    <w:p>
      <w:pPr>
        <w:spacing w:after="0" w:line="234" w:lineRule="exact"/>
        <w:rPr>
          <w:sz w:val="20"/>
          <w:szCs w:val="20"/>
          <w:color w:val="auto"/>
        </w:rPr>
      </w:pPr>
    </w:p>
    <w:p>
      <w:pPr>
        <w:ind w:left="1280" w:hanging="624"/>
        <w:spacing w:after="0"/>
        <w:tabs>
          <w:tab w:leader="none" w:pos="1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(property and casualty) risks are made through its central underwriting office. PPS’s own risk management staff inspects most medium and medium-to-large commercial risks prior to their underwriting, whereas third party surveyors are employed to inspect smaller risks. Underwriting standards are approved by the Board of Directors on a yearly basis.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transfers risks to reinsurers to limit its maximum aggregate losses and minimize exposure on large risks. Reinsurance is placed with reinsurance companies based on evaluation of the financial capacity of the reinsurer, terms of coverage and price. PPS’s principal reinsurers in 2010 were, among others, Lloyd’s, Amlin, Catlin, China Re, Endurance, Everest Re, Flagstone Re, GIC, Hannover Re, Mapfre Re, MS Frontier, Munich Re, Odyssey Re, Omega, Partner Re, Paris Re, QBE Reinsurance Corp., QBE Europe, R+V, Reaseguradora Patria, Scor, Sirius International, Swiss Re, Validus Re, White Mountain and XL Re. Premiums ceded to reinsurers represented 16.7% in 2010. PPS acts as a reinsurer on a very limited basis, providing its excess reinsurance capacity to other Peruvian insurers that are unable to satisfy their reinsurance requirements.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Although PPS historically has obtained reinsurance for a substantial portion of its earthquake-related risks through excess loss contracts, there can be no assurance that a major catastrophe would not have a material adverse impact on its results of operations or financial condition.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“—(ii) Claims and Reserves.”</w:t>
      </w:r>
    </w:p>
    <w:p>
      <w:pPr>
        <w:spacing w:after="0" w:line="33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ind w:left="1280" w:hanging="624"/>
        <w:spacing w:after="0"/>
        <w:tabs>
          <w:tab w:leader="none" w:pos="1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claims paid by PPS as a percentage of net premiums written (i.e., the net loss ratio) reached 63.6% in 2010, improving from 65.2% in 2009.</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net loss ratio, in the property and casualty segment, which represented 13.5% of PPS’s premiums in 2010 (16.7% in 2009), decreased to 50.5% in 2010 from 53.1% in 2009, mainly due to the improved performance of automobile, limited liability risk, personal accidents and theft lines. The net loss ratio from the automobile line, which represented 9.1% of property and casualty premiums in 2010 (11.5% in 2009) decreased from 52.3% in 2009 to 41.2% in 2010. The net loss ratio from the limited liability line, which represented 0.04% of property and casualty premiums in 2010 (0.5% in 2009) decreased from 54.0% in 2009 to 35.1% in 2010. The net loss ratio of the personal accidents line, which was 1.0% of property and casualty premiums in 2010 (1.3% in 2009) decreased from 52.5% in 2009 to 38.5% in 2010.</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ratio in the life insurance lines increased from 64.4% in 2009 to 66.6% in 2010, due to the increase in claims in the Ordinary, Credit and Personal Accident lines.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ratio in the health insurance lines decreased from 84.6% in 2009 to 78.8% in 2010 and represented 15.3% of PPS’s premiums in 2010 (17.4% in 2009).</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PPS is required to establish (i) claims reserves in respect of pending claims in its property-casualty business, (ii) reserves for future benefit obligations under its in-force life and accident insurance policies, and (iii) unearned premium reserves in respect of that portion of premiums written that is allocable to the unexpired portion of the related policy periods (collectively, “Technical Reserves”). PPS establishes claims reserves with respect to claims when reported, as well as for incurred but not reported (IBNR) claims. Such reserves are reflected as liabilities in PPS’s financial statements.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Pursuant to SBS regulations, PPS establishes pre-event reserves for catastrophic risks with respect to earthquake coverage.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Regulation—(v) PPS—Reserve Requirements.” In accordance with IFRS principles, the pre-event reserves and income charges for catastrophic reserves are not considered in Credicorp’s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 though PPS maintains reserves to reduce its exposure, there is always some risk that claims might exceed PPS’s reserves.</w:t>
      </w:r>
    </w:p>
    <w:p>
      <w:pPr>
        <w:spacing w:after="0" w:line="248" w:lineRule="exact"/>
        <w:rPr>
          <w:sz w:val="20"/>
          <w:szCs w:val="20"/>
          <w:color w:val="auto"/>
        </w:rPr>
      </w:pPr>
    </w:p>
    <w:p>
      <w:pPr>
        <w:ind w:left="1240" w:hanging="584"/>
        <w:spacing w:after="0"/>
        <w:tabs>
          <w:tab w:leader="none" w:pos="12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PPS’s investments are made primarily to meet its solvency equity ratio and to provide reserves for its claims. PPS manages its investments under three distinct portfolios. The first portfolio is designed to contain sufficient assets to match the liabilities of the company’s property and casualty; the second portfolio is designed to match the liabilities of the company’s life and annuities lines, and the third portfolio is designed to match the health care lines. Each portfolio is managed under the authority of its own committee, which reviews portfolio strategy on a monthly basis. PPS’s invests in international and local markets, emphasizing investments in the U.S. and Peru. PPS has adopted strict policies related to investment decisions. The company´s investment strategies and policies are reviewed and approved by PPS’s Board of Directors. Senior management also takes a leading role in devising investment strategies.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investment division is constituted by investment professionals focused on managing risks at a rate of return that meets the needs of our portfolios. The investment team includes CFA charter holders, MBAs, US educated professionals, and economists, among others.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PPS’s investment strategy also considers an appropriate match of currencies related to its assets and liabilities. A significant portion of PPS’s premiums is denominated in U.S. Dollars and most of the company’s assets are also invested in this currency.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2010, the book value of PPS’s portfolio (which includes Pacifico Seguros –PPS-, Pacifico Vida –EPV- and Pacifico Salud – EPS-) was US$1,269.3 million, which included US$102.6 million in equity securities and US$1,166.6 million in bonds. The company’s real estate investments’ gross book value reached US$33.3 million.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Pacifico Seguros had a book value of US$216.5 million in 2010 which included investments of equity, short-term debt instruments and real state. Pacifico Vida’s book value was close to US$1,022.8 million and mainly consisted of investment grade long-term debt instruments. Also, Pacifico Salud had a small portfolio with a book value of US$30.0 million and was mainly invested in short-term debt instruments.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its improvement process, PPS’s has been adjusting its investment policy in order to apply the best international risk management practices and tools. PPS’s also incorporated the recommendations of Solvencia II and Basel II, with a view to developing a better match of terms and currencies with the company’s liabilities, especially in connection with obligations vis-à-vis PPS’s insured customers.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both"/>
        <w:ind w:firstLine="648"/>
        <w:spacing w:after="0" w:line="308" w:lineRule="auto"/>
        <w:rPr>
          <w:sz w:val="20"/>
          <w:szCs w:val="20"/>
          <w:color w:val="auto"/>
        </w:rPr>
      </w:pPr>
      <w:r>
        <w:rPr>
          <w:rFonts w:ascii="Arial" w:cs="Arial" w:eastAsia="Arial" w:hAnsi="Arial"/>
          <w:sz w:val="17"/>
          <w:szCs w:val="17"/>
          <w:color w:val="auto"/>
        </w:rPr>
        <w:t>PPS reported a financial consolidated income in 2010 of US$92.2 million, as compared to US$75.7 million in 2009. This outcome is explained by the growth of Pacifico Vida’s business lines (especially the life insurance business) and Pacifico Seguros property and casualty businesses.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Pacifico Seguros 2010 financial income grew to US$24.5 million, an increase of 8.5% compared to 2009. The better performance was mainly due to the capital gains that Pacifico Seguros obtained in equity markets, its use of a barbell strategy in its fixed income portfolio and its local currency allocation in corporate bonds. In 2010, 78.4% of the gross premiums received by Pacifico Seguros were denominated in U.S. Dollars (compared to 79.4% in 2009).</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equity profits that Pacifico Seguros earned during 2010 were primarily attributable to the strong performance of the local stock market. The Peruvian stock market rallied 69.7% during 2010, as commodities prices continued to recover, the construction and financial sectors improved, demand for housing rose, and the consumer sector rallied due to increased domestic demand. Pacifico Seguros’s equity portfolio strategy, supported by the positive performance of the stock market, generated realized capital gains of US$7.9 million and a total portfolio year-over-year return of 74.5%.</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Pacifico Seguros was able to generate US$13.0 million in financial income from its fixed income portfolio, which was 9.4% higher than the forecast for 2010. Revenue in this portfolio was higher than forecast because the company applied a “barbell strategy” (investing in longer and shorter term maturities, as opposed to intermediate maturity obligations) and shifted its allocation of corporate and sovereign bonds that were held in local currency. The barbell strategy generated a higher return and provided Pacifico Seguros with enough liquidity to cover its obligations. The appreciation of the Nuevo Sol also improved our results in 2010. In contrast, the company´s real estate investments were 14.3% below our forecast, resulting in a 6.3% annual decline in rental fees.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Pacifico Vida’s portfolio is primarily composed of fixed income securities (94.8% of the portfolio), and it is focused on investment grade bonds. The portfolio is well diversified and it follows an asset-liability management strategy.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Pacifico Vida´s 2010 financial income grew to US$66.9 million, an increase of 27.7% compared to 2009. The better performance was mainly due to</w:t>
      </w:r>
    </w:p>
    <w:p>
      <w:pPr>
        <w:spacing w:after="0" w:line="46" w:lineRule="exact"/>
        <w:rPr>
          <w:sz w:val="20"/>
          <w:szCs w:val="20"/>
          <w:color w:val="auto"/>
        </w:rPr>
      </w:pPr>
    </w:p>
    <w:p>
      <w:pPr>
        <w:jc w:val="both"/>
        <w:ind w:firstLine="8"/>
        <w:spacing w:after="0" w:line="255" w:lineRule="auto"/>
        <w:tabs>
          <w:tab w:leader="none" w:pos="2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growth in annuities, which was caused by the advent of a new regulation permitting early retirement for pensioners, (ii) an inflation greater than 2009, which had a positive effect on adjusted inflation bonds, (iii) the appreciation of the Nuevo Sol, and (iv) the company’s strong equity portfolio, which appreciated with the local stock market.</w:t>
      </w:r>
    </w:p>
    <w:p>
      <w:pPr>
        <w:spacing w:after="0" w:line="213" w:lineRule="exact"/>
        <w:rPr>
          <w:sz w:val="20"/>
          <w:szCs w:val="20"/>
          <w:color w:val="auto"/>
        </w:rPr>
      </w:pPr>
    </w:p>
    <w:p>
      <w:pPr>
        <w:ind w:left="1280" w:hanging="624"/>
        <w:spacing w:after="0"/>
        <w:tabs>
          <w:tab w:leader="none" w:pos="12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Prima AFP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2010, the pension fund market was stable, with less competition for transfers and increased focus on new affiliations. Prima AFP maintained its leading market position due to a strong value proposal aimed at providing quality information and service to its members.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Strong productivity by Prima AFP’s sales management helped Prima AFP preserve a high quality portfolio and obtain growth of its monthly insurable remuneration (or RAM), which is the basis of its revenues. The sales management’s strong productivity also contributed to Prima AFP maintaining a robust market share. With regard to contributions collection, Prima AFP maintained the largest market share (32.3% as of December 2010).</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commercial field, Prima AFP focused on recruiting new affiliates, reducing transfer volumes and maintaining its affiliate portfolio. Pursuant to in-house estimates based on revenues and taking into account the 1.75% administration fee, Prima AFP’s basis remuneration for revenues increased in 2010. This increase allowed Prima AFP once again to garner the highest monthly insurable remuneration (RAM) market share (31.6%).</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2010, Prima AFP’s pension fund investment portfolio grew as a result of increased confidence in a global recovery and strong economic growth in Peru. The positive performance of international and local financial markets was also reflected in the growth of the managed pension fund portfolio, which increased from US$7.3 billion as of December 2009 to US$9.7 billion as of December 2010, the funds managed by Prima AFP also performed well and its returns are a result of our investment process, which is based on (i) a thorough analysis of investment alternatives, (ii) the excellent performance of the Peruvian economy and (iii) our investments abroad, particularly in Latin America. Given that pension funds are long-term investments, it is best to observe their returns over a long period. Over the last 60 months, Prima AFP’s annual return was 15.34% for fund 2 (Funds 1 and 3 do not have yet 5 years of existence, their return for the period 2006 – 2010 was 7.29% and 16.47%, respectively). In 2010, Prima AFP registered total revenues of US$85.2 million and profits of US$25.5 million (calculated using IFRS). This was accomplished by expanding Prima AFP’s revenue base and controlling its operating expenses. The revenue result reported in 2010, unlike those reported in 2009, contained 12 rather than 13 contribution periods. This was due to the fact that in 2009, the government, as part of its anti-crisis plan, exempted affiliates from deductions on additional salaries that had to be paid in July and December under Peruvian law.</w:t>
      </w:r>
    </w:p>
    <w:p>
      <w:pPr>
        <w:spacing w:after="0" w:line="35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ind w:left="1280" w:hanging="624"/>
        <w:spacing w:after="0"/>
        <w:tabs>
          <w:tab w:leader="none" w:pos="12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ind w:left="1280" w:hanging="624"/>
        <w:spacing w:after="0"/>
        <w:tabs>
          <w:tab w:leader="none" w:pos="1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Peruvian banking sector is currently composed of 15 commercial banking institutions. As of December 31, 2010, BCP ranked first among all Peruvian banks in terms of assets, deposits and loans with a market share of 37.4% of assets, 36.3% of deposits and 33.6% of loans.</w:t>
      </w:r>
    </w:p>
    <w:p>
      <w:pPr>
        <w:spacing w:after="0" w:line="143" w:lineRule="exact"/>
        <w:rPr>
          <w:sz w:val="20"/>
          <w:szCs w:val="20"/>
          <w:color w:val="auto"/>
        </w:rPr>
      </w:pPr>
    </w:p>
    <w:tbl>
      <w:tblPr>
        <w:tblLayout w:type="fixed"/>
        <w:tblInd w:w="1800" w:type="dxa"/>
        <w:tblCellMar>
          <w:top w:w="0" w:type="dxa"/>
          <w:left w:w="0" w:type="dxa"/>
          <w:bottom w:w="0" w:type="dxa"/>
          <w:right w:w="0" w:type="dxa"/>
        </w:tblCellMar>
      </w:tblPr>
      <w:tr>
        <w:trPr>
          <w:trHeight w:val="24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Major Peruvian Banks as of December 31, 2010</w:t>
            </w:r>
          </w:p>
        </w:tc>
        <w:tc>
          <w:tcPr>
            <w:tcW w:w="140" w:type="dxa"/>
            <w:vAlign w:val="bottom"/>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4"/>
              </w:rPr>
              <w:t>Deposits</w:t>
            </w:r>
          </w:p>
        </w:tc>
        <w:tc>
          <w:tcPr>
            <w:tcW w:w="140" w:type="dxa"/>
            <w:vAlign w:val="bottom"/>
          </w:tcPr>
          <w:p>
            <w:pPr>
              <w:spacing w:after="0"/>
              <w:rPr>
                <w:sz w:val="20"/>
                <w:szCs w:val="20"/>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8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0"/>
              </w:rPr>
              <w:t>37.4%</w:t>
            </w:r>
          </w:p>
        </w:tc>
        <w:tc>
          <w:tcPr>
            <w:tcW w:w="82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3"/>
              </w:rPr>
              <w:t>34.2%</w:t>
            </w:r>
          </w:p>
        </w:tc>
        <w:tc>
          <w:tcPr>
            <w:tcW w:w="8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0"/>
              </w:rPr>
              <w:t>33.6%</w:t>
            </w:r>
          </w:p>
        </w:tc>
        <w:tc>
          <w:tcPr>
            <w:tcW w:w="120" w:type="dxa"/>
            <w:vAlign w:val="bottom"/>
            <w:shd w:val="clear" w:color="auto" w:fill="CCFFC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BBVA Banco Continental</w:t>
            </w:r>
          </w:p>
        </w:tc>
        <w:tc>
          <w:tcPr>
            <w:tcW w:w="8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21.0%</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22.2%</w:t>
            </w:r>
          </w:p>
        </w:tc>
        <w:tc>
          <w:tcPr>
            <w:tcW w:w="8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24.6%</w:t>
            </w:r>
          </w:p>
        </w:tc>
        <w:tc>
          <w:tcPr>
            <w:tcW w:w="120" w:type="dxa"/>
            <w:vAlign w:val="bottom"/>
          </w:tcPr>
          <w:p>
            <w:pPr>
              <w:spacing w:after="0"/>
              <w:rPr>
                <w:sz w:val="18"/>
                <w:szCs w:val="18"/>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8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0"/>
              </w:rPr>
              <w:t>15.4%</w:t>
            </w:r>
          </w:p>
        </w:tc>
        <w:tc>
          <w:tcPr>
            <w:tcW w:w="82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3"/>
              </w:rPr>
              <w:t>14.6%</w:t>
            </w:r>
          </w:p>
        </w:tc>
        <w:tc>
          <w:tcPr>
            <w:tcW w:w="8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0"/>
              </w:rPr>
              <w:t>14.1%</w:t>
            </w:r>
          </w:p>
        </w:tc>
        <w:tc>
          <w:tcPr>
            <w:tcW w:w="120" w:type="dxa"/>
            <w:vAlign w:val="bottom"/>
            <w:shd w:val="clear" w:color="auto" w:fill="CCFFC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Interbank</w:t>
            </w:r>
          </w:p>
        </w:tc>
        <w:tc>
          <w:tcPr>
            <w:tcW w:w="8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10.8%</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10.3%</w:t>
            </w:r>
          </w:p>
        </w:tc>
        <w:tc>
          <w:tcPr>
            <w:tcW w:w="8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11.3%</w:t>
            </w:r>
          </w:p>
        </w:tc>
        <w:tc>
          <w:tcPr>
            <w:tcW w:w="120" w:type="dxa"/>
            <w:vAlign w:val="bottom"/>
          </w:tcPr>
          <w:p>
            <w:pPr>
              <w:spacing w:after="0"/>
              <w:rPr>
                <w:sz w:val="18"/>
                <w:szCs w:val="18"/>
                <w:color w:val="auto"/>
              </w:rPr>
            </w:pPr>
          </w:p>
        </w:tc>
      </w:tr>
      <w:tr>
        <w:trPr>
          <w:trHeight w:val="216"/>
        </w:trPr>
        <w:tc>
          <w:tcPr>
            <w:tcW w:w="4180" w:type="dxa"/>
            <w:vAlign w:val="bottom"/>
            <w:shd w:val="clear" w:color="auto" w:fill="CCFFCC"/>
          </w:tcPr>
          <w:p>
            <w:pPr>
              <w:spacing w:after="0"/>
              <w:rPr>
                <w:sz w:val="20"/>
                <w:szCs w:val="20"/>
                <w:color w:val="auto"/>
              </w:rPr>
            </w:pPr>
            <w:r>
              <w:rPr>
                <w:rFonts w:ascii="Arial" w:cs="Arial" w:eastAsia="Arial" w:hAnsi="Arial"/>
                <w:sz w:val="18"/>
                <w:szCs w:val="18"/>
                <w:color w:val="auto"/>
              </w:rPr>
              <w:t>Banco Interamericano de Finanzas</w:t>
            </w:r>
          </w:p>
        </w:tc>
        <w:tc>
          <w:tcPr>
            <w:tcW w:w="8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2"/>
              </w:rPr>
              <w:t>2.6%</w:t>
            </w:r>
          </w:p>
        </w:tc>
        <w:tc>
          <w:tcPr>
            <w:tcW w:w="82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7"/>
              </w:rPr>
              <w:t>3.0%</w:t>
            </w:r>
          </w:p>
        </w:tc>
        <w:tc>
          <w:tcPr>
            <w:tcW w:w="8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2"/>
              </w:rPr>
              <w:t>2.9%</w:t>
            </w:r>
          </w:p>
        </w:tc>
        <w:tc>
          <w:tcPr>
            <w:tcW w:w="12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SBS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Peruvian banking industry will continue to be a competitive environment within a generally comfortable liquidity situation. This increased competition may in the future affect our loan growth and reduce the average interest rates that we may charge our customers, as well as reduce our fee income.</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relative excess liquidity at major Peruvian banks has put pressure on margins. We do not intend to pursue corporate lending opportunities that are unprofitable solely in order to maintain market share. We expect BCP’s corporate banking to grow at levels similar to GDP growth. We will seek to maintain our close relationships with corporate customers, focusing on providing prompt responses to their requirements and setting competitive prices. To this end, we are currently updating our information systems to improve customer service and to allow management to obtain information on customer and business profitability more efficiently. We also intend to expand the range of BCP’s investment banking and cash management products.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its core corporate lending and trade finance businesses, ASHC principally competes with larger international institutions. ASHC attributes its ability to compete effectively with larger lending institutions to its (i) aggressive marketing efforts, (ii) ability as a smaller, more flexible institution to make decisions quickly and respond rapidly to customer needs, (iii) association with BCP and (iv) superior knowledge of the region, particularly the Peruvian market.</w:t>
      </w:r>
    </w:p>
    <w:p>
      <w:pPr>
        <w:spacing w:after="0" w:line="210" w:lineRule="exact"/>
        <w:rPr>
          <w:sz w:val="20"/>
          <w:szCs w:val="20"/>
          <w:color w:val="auto"/>
        </w:rPr>
      </w:pPr>
    </w:p>
    <w:p>
      <w:pPr>
        <w:ind w:left="1240" w:hanging="584"/>
        <w:spacing w:after="0"/>
        <w:tabs>
          <w:tab w:leader="none" w:pos="12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BCP’s wholesale banking group, its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(or AFPs) and mutual fund companies.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AFPs’ funds under management and mutual fund assets have increased at rates over those experienced by the banking system. The private pension fund reached US$31.1 billion as of December 31, 2010, increasing by 29.6% since December 31, 2009 (when funds totaled US$24.0 billion), due to the effect of the international financial crisis on the Peruvian stock market and pension fund system. Total mutual funds reached US$5.6 billion in 2010, a 15.0% increase from US$4.9 billion in 2009.</w:t>
      </w:r>
    </w:p>
    <w:p>
      <w:pPr>
        <w:spacing w:after="0" w:line="211" w:lineRule="exact"/>
        <w:rPr>
          <w:sz w:val="20"/>
          <w:szCs w:val="20"/>
          <w:color w:val="auto"/>
        </w:rPr>
      </w:pPr>
    </w:p>
    <w:p>
      <w:pPr>
        <w:ind w:left="1240" w:hanging="584"/>
        <w:spacing w:after="0"/>
        <w:tabs>
          <w:tab w:leader="none" w:pos="12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institutions in the Peruvian financial system tend to specialize in a given market sector. These institutions include finance companies, municipal and rural savings and credit associations, municipal public credit associations and savings and credit cooperatives. They mainly issue retail loans to small and micro-businesses and consumer and mortgage loans to individuals. These markets have shown substantial increases in recent years. BCP is facing strong competition from these credit providers, primarily with respect to (i) micro-business loans, where such providers lent US$3.7 billion as of December 31, 2010 (56.3% higher than the US$2.4 billion lent in 2009), representing 48.0% of the total in the financial system (compared to 54.7% in 2009); and (ii) consumer loans, where such providers lent US$1.4 billion in 2010 (22.2% higher than US$1.1 billion in 2009), representing 60.9% of the total in the financial system (compared to 16.3% in 2009).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also faces strong competition in its credit card operations from credit cards issued by retail stores.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ind w:left="1280" w:hanging="624"/>
        <w:spacing w:after="0"/>
        <w:tabs>
          <w:tab w:leader="none" w:pos="1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Peruvian insurance market is highly concentrated. Four companies command 83.6% of the market share in premiums, and the first two have a combined market share of 63.7%. PPS is the second largest insurance company in Peru with a 28.6% market share. Peruvian insurance companies compete principally on the basis of price, as well as on the basis of brand recognition, customer service and product features. PPS believes that its competitive pricing, solid image, and quality of customer service are significant aspects of its overall competitiveness.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189" w:lineRule="exact"/>
        <w:rPr>
          <w:sz w:val="20"/>
          <w:szCs w:val="20"/>
          <w:color w:val="auto"/>
        </w:rPr>
      </w:pPr>
    </w:p>
    <w:p>
      <w:pPr>
        <w:ind w:left="1280" w:hanging="624"/>
        <w:spacing w:after="0"/>
        <w:tabs>
          <w:tab w:leader="none" w:pos="1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While we are incorporated in Bermuda, substantially all of BCP’s and PPS’s operations and customers are located in Peru. Although ASHC is based outside of Peru, a substantial number of its customers are also located in Peru. Accordingly, our results of operations and financial condition could be affected by changes in economic or other policies of the Peruvian government, which has exercised and continues to exercise a substantial influence over many aspects of the private sector. Also, our results of operations and financial condition may be affected by other political or economic developments in Peru, such as a devaluation of the Nuevo Sol relative to the U.S. Dollar or the imposition of exchange controls by the Peruvian government.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10. Additional Information—(D) Exchange Controls.” Our results of operations and financial condition are dependent on the level of economic activity in Peru.</w:t>
      </w:r>
    </w:p>
    <w:p>
      <w:pPr>
        <w:spacing w:after="0" w:line="188" w:lineRule="exact"/>
        <w:rPr>
          <w:sz w:val="20"/>
          <w:szCs w:val="20"/>
          <w:color w:val="auto"/>
        </w:rPr>
      </w:pPr>
    </w:p>
    <w:p>
      <w:pPr>
        <w:ind w:left="1280" w:hanging="624"/>
        <w:spacing w:after="0"/>
        <w:tabs>
          <w:tab w:leader="none" w:pos="12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During the past several decades, Peru has had a history of political instability that has included military coups d’état and different governmental regimes, which in the past have frequently intervened in the nation’s economy and social structure.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Information—(D) Risk Factors.”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w:t>
      </w:r>
      <w:r>
        <w:rPr>
          <w:rFonts w:ascii="Arial" w:cs="Arial" w:eastAsia="Arial" w:hAnsi="Arial"/>
          <w:sz w:val="18"/>
          <w:szCs w:val="18"/>
          <w:i w:val="1"/>
          <w:iCs w:val="1"/>
          <w:color w:val="auto"/>
        </w:rPr>
        <w:t>See</w:t>
      </w:r>
      <w:r>
        <w:rPr>
          <w:rFonts w:ascii="Arial" w:cs="Arial" w:eastAsia="Arial" w:hAnsi="Arial"/>
          <w:sz w:val="18"/>
          <w:szCs w:val="18"/>
          <w:color w:val="auto"/>
        </w:rPr>
        <w:t xml:space="preserve"> “— (C) Organizational Structure.”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the past, Peru experienced significant levels of terrorist activity, which escalated in the late 1980s and early 1990s.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 —(D) Risk Factors.” Upon being elected to office in 1990, President Alberto Fujimori’s government made substantial progress in suppressing Shining Path and MRTA terrorist activity, including the arrest of the leader and second level of leadership in each terrorist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Between 1990 and 2000, President Fujimori implemented a broad-based reform of Peru’s political system, economy and social conditions.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46" w:lineRule="exact"/>
        <w:rPr>
          <w:sz w:val="20"/>
          <w:szCs w:val="20"/>
          <w:color w:val="auto"/>
        </w:rPr>
      </w:pPr>
    </w:p>
    <w:p>
      <w:pPr>
        <w:jc w:val="both"/>
        <w:ind w:firstLine="8"/>
        <w:spacing w:after="0" w:line="254" w:lineRule="auto"/>
        <w:tabs>
          <w:tab w:leader="none" w:pos="1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Key Information—(D) Risk Factors.” President Fujimori resigned in 2000 in favor of a transitory government due to an outbreak of corruption scandals. President Toledo then assumed the presidency in 2001 after a period of political turmoil, facing high unemployment and underemployment, an economic recession and social need. In 2006, current president Alan García was elected for a five year-term. Peru is currently holding elections to determine who will succeed President García.</w:t>
      </w:r>
    </w:p>
    <w:p>
      <w:pPr>
        <w:spacing w:after="0" w:line="2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Despite the economic strides achieved since 1990, poverty remains a persistent problem in Peru, with almost 40%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the global crisis, Peru had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President Toledo transferred the presidency to Alan García Pérez on July 28, 2006, following Mr. García’s victory in the run-off of the presidential elections held on June 4, 2006. Even though Mr. García´s government has mostly retained the economic policies of the previous government, 2009 showed a severe slowdown, due to the impact of the global crisis, which translated to a decrease in the GDP growth rate to 0.9% from 10.0% in the previous year. However, in 2010 the economy experienced a strong recovery and GDP growth rate was 8.8%.</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both"/>
        <w:ind w:firstLine="648"/>
        <w:spacing w:after="0" w:line="257" w:lineRule="auto"/>
        <w:rPr>
          <w:sz w:val="20"/>
          <w:szCs w:val="20"/>
          <w:color w:val="auto"/>
        </w:rPr>
      </w:pPr>
      <w:r>
        <w:rPr>
          <w:rFonts w:ascii="Arial" w:cs="Arial" w:eastAsia="Arial" w:hAnsi="Arial"/>
          <w:sz w:val="18"/>
          <w:szCs w:val="18"/>
          <w:color w:val="auto"/>
        </w:rPr>
        <w:t>Presidential elections were held in Peru on April 10, 2011. Under the Peruvian constitution, if no candidate receives the majority of votes in the election, the two candidates with the most votes will face a run-off, second round election to determine the winner. In accordance with official figures, Ollanta Humala received 31.7% of valid votes, followed by Keiko Fujimori (23.6%), Pedro Pablo Kuczynski (18.5%), Alejandro Toledo (15.6%), Luis Castañeda (9.8%) and other candidates (0.8%). Because no candidate obtained more than 50% of valid votes, a second round election will be held on June 5, 2011, between Ollanta Humala and Keiko Fujimori.</w:t>
      </w:r>
    </w:p>
    <w:p>
      <w:pPr>
        <w:spacing w:after="0" w:line="211"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Peruvian Economy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and now President García, continued these market-oriented policies but, facing some populist initiatives from Congress and social pressures from unions and regional movements, they have passed some interventionist measures.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late 1980s and early 1990s, the Peruvian economy was very volatile. Since 1999, the Peruvian economy has grown every year. Between 2001 and 2008, each year Peru’s economic growth was higher than in the previous year, with a 5.9% annual average. For 2009, the global crisis adversely influenced growth, but within a global comparison, Peru was among the countries with the highest GDP-growth rates: 0.9% in a year when global production decreased 1.1%.</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2009, despite the impressive growth of public investment (+25.9% after 42.8% in 2008), the main driver of growth came from foreign markets, since domestic demand decreased as a consequence of a severe drop in inventories. However, growth dynamics in the foreign sector was driven not by a growth in exports, but due to an almost 20% decrease in imports.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decision by the United States in August 2002 to renew and expand tax benefits through the ATPDEA for certain Latin American export products benefited the manufacturing sector because of its inclusion of Peruvian textiles. In May 2004, negotiations over a free trade agreement with the United States, Colombia and Ecuador began. During 2007, the Free Trade Agreement (FTA) with the United States was signed and the trade deal was put into effect on February 1, 2009, concluding a long process of trade negotiations and goodwill. The FTA made permanent the special access to the U.S. market enjoyed under the Andean Trade Promotion and Drug Eradication Act. The current trade between these countries is about US$11 billion annually (18.5% of total trade). The FTA is expected to encourage higher export growth and diversification, as well as accelerate reforms that will further enhance the investment climate in Peru, which is already benefiting from foreign direct investment at historic highs. During the 2008 APEC Summit, progress was made toward reaching a trade agreement with China. According to the Ministry of Foreign Trade and Tourism, the other Asian countries with which Peru is negotiating free trade agreements are Japan and South Korea, whose negotiations may be closed by mid 2011.</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has taken almost two decades of continued implementation of sound economic policies and a strong political commitment to generate a noticeable improvement in Peru’s economic condition. Peru’s strong macroeconomic performance was underpinned by wide-ranging structural reforms to improve the functioning of markets, foster private sector participation, and modernize the role of the state. In the early 1990s, Peru was one of the first emerging countries to undertake a simultaneous trade and capital account liberalization, accompanied by a flexible exchange rate regime and a deep reform of the financial system. Among several important transformations aimed at enhancing external competitiveness and investor confidence, Peru modernized the civil service and reformed the labor market. Peru’s authorities remain committed to prudent financial policies to preserve the macroeconomic stability and a further deepening of structural reforms to sustain growth and entrench poverty reduction.</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trade surplus in 2010 was US$6.8 billion, remaining well below its 2006 record (US$9 billion), but surpassing the 2009 surplus (US$5.9 billion). Peru’s trade surplus was the result of a sizeable rise in exports, though imports also grew as the domestic economy expanded. Exports in 2010 increased 31.9%, while imports increased 37.1%. The increase in exports was based mostly on higher prices for commodities. Higher demand drove the growth of imports.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 has had a history of high and persistent current account deficits. In 2006, however, Peru had a record surplus of US$2.9 billion, which is equivalent to 3.1% of its GDP. This amount decreased in 2007, with a surplus of US$1.4 billion (1.3% of GDP) and became a deficit again in 2008 (US$4.7 billion, or 3.7% of GDP), turning back to a small surplus in 2009 following the decrease in imports (due to a lower domestic demand) and in investment income (due to lower prices of exported commodities and profits for non-resident companies). In 2010, Peru again recorded a deficit, this time in the amount of US$2.3 billion (1.5% of GDP).</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Peru’s financial account had a surplus of US$0.7 billion in 2006, due mainly to repayment of external debt made by the public sector. This account grew substantively in 2007 and reached US$8.3 billion due mainly to higher foreign direct investment and long-term loans. The decrease in 2008 was concentrated in the last quarter due mainly to the behavior of foreign direct investment. The flow of foreign direct investment, or FDI, into Peru was US$3.5 billion in 2006 and US$5.3 billion in 2007. Despite the US$4.0 billion in 2008 FDI, the result was not necessarily bad news as during the last quarter of 2008, Peruvian companies increased their participation in other Latin American companies, which resulted in a US$1 billion net outflow. In 2009, the financial account was about one fifth of previous years (US$1.7 billion), but it was enough to reverse the current account deficit. Lower inflows were consequence of outflows in the first half of the year given global uncertainty, but they recovered in the third and specially fourth quarter when investors adjusted their risk appetite and reassessed risks in emerging countries, which demonstrated to have solid foundations during the crisis. In 2010, emerging markets with solid fundamentals fared well (except in the fourth quarter, when activities in Ireland and negative expectations about Portugal weighed down the overall performance of emerging markets), Peru’s reserves grew by US$11 billion, increasing the nation’s reserves by one third.</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jc w:val="both"/>
        <w:ind w:firstLine="648"/>
        <w:spacing w:after="0" w:line="279" w:lineRule="auto"/>
        <w:rPr>
          <w:sz w:val="20"/>
          <w:szCs w:val="20"/>
          <w:color w:val="auto"/>
        </w:rPr>
      </w:pPr>
      <w:r>
        <w:rPr>
          <w:rFonts w:ascii="Arial" w:cs="Arial" w:eastAsia="Arial" w:hAnsi="Arial"/>
          <w:sz w:val="17"/>
          <w:szCs w:val="17"/>
          <w:color w:val="auto"/>
        </w:rPr>
        <w:t>The inflation rate in Peru, as measured by the Lima consumer price index, has fallen from 7,650.0% in 1990 to 1.1% in 2006. However, despite the Peruvian Central Bank’s 2% inflation goal, with a +/-1% range, inflation was 3.9% in 2007, 6.7% in 2008, due to higher international commodity prices (with Peru being a net importer of fuel and food), and 0.3% in 2009. The Central Bank breached the inflation bands for three-years-in-a-row (last year on the downside) through 2009. However, in 2010 both total inflation and core inflation were 2.1%, consistent with the Central Bank’s objectives.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average bank market exchange rate for Nuevos Soles in Peru was S/.2.89 per US$1.00 on December 31, 2009, an 8.0% appreciation over the end-of-year levels in 2008. The Nuevo Sol weakened during the first months of 2009 because of a “flight to quality” trend, which favored positions in dollars. This trend reversed in 2010, when the exchange rate dropped to S/.2.81 at the end of the year. The appreciation rate might have been even stronger but for the high levels of economic uncertainty in Europe, since by mid October the exchange rate was under S/.2.78.</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sound policy framework put in place in recent years and the increase in international reserves have contributed to significantly reduce Peru’s economic vulnerabilities and poverty (even though poverty still affects almost 40% of the population) and enhance its business environment. Peru’s strong fiscal surpluses in recent years, the recent moderate deficit due to countercyclical policies notwithstanding, have also supported a significant reduction in public debt and improved maturity structure. In the current uncertain global outlook, these are important fiscal buffers. A sound monetary policy, well-established in a framework that targets inflation, has also been instrumental in helping to maintain macroeconomic stability and reduce dollarization. Structural reforms have reduced Peru’s fiscal and financial vulnerabilities. Free trade agreements and the search of new markets to open new trade destinations, lower informality, and improvement in the business climate have helped improve Peru’s long-term growth prospects, which are reflected in a higher investment and a higher potential growth.</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achievements have placed Peru in a strong position to face any future deterioration in external conditions, should that be the case. Building on Peru’s strong fundamentals, including a resilient financial system, several measures have been appropriately implemented by the authorities that will help to limit spillovers, preserve adequate liquidity conditions in the domestic markets, and bolster domestic confidence. The Peruvian financial system has proven to be strong, despite the impact of the global financial crisis. Credit, which averaged a 31.5% growth in 2007 and 2008, lost momentum, closing 2009 with only a 9.0% growth. The economic recovery in Peru has increased demand for credit, which, in 2010, grew 22.2% among banks and 31.9% among other financial institutions.</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Peruvian authorities have been implementing reforms to further strengthen its financial system. Large official reserves—currently over US$44 billion, equivalent to 18 months of imports—and strong financial soundness indicators, along with the banks’ limited financial reliance on external funding, have helped preserve the system’s stability. Peruvian authorities have recently introduced prudential measures, including more restrictive rules for consumer credit and new dynamic provisioning made effective last December, and strengthened banks’ minimum capital requirements as Basel II is gradually implemented.</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near term domestic economic outlook still remains favorable, even when uncertainty about global economy is not solved at all. The pace of economic growth is expected to be around 7.0% in 2011, reflecting a moderate global recovery, and a more vigorous domestic demand. Inflation should remain around the 2% (+/- 1%) target range but may be pressed to the roof of the range. Main risks are external, since presidential elections may not generate unfriendly surprises for the market. Peru’s medium-term prospects are favorable and require preserving prudent macroeconomic policies and dealing with long-standing structural challenges.</w:t>
      </w:r>
    </w:p>
    <w:p>
      <w:pPr>
        <w:spacing w:after="0" w:line="211"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activities are conducted primarily through banking and insurance subsidiaries operating in Peru, a summary of the Peruvian financial system is set forth below.</w:t>
      </w:r>
    </w:p>
    <w:p>
      <w:pPr>
        <w:spacing w:after="0" w:line="166"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2010, the Peruvian financial system consisted of the following principal participants: the Central Bank, the SBS, 15 banking institutions (not including Banco de la Nación, a Peruvian state-owned bank), ten finance companies, and two leasing companies. In addition, Peru has various mutual mortgage associations, municipal and rural savings and credit associations, municipal public credit associations and savings and credit cooperatives, which totaled 33 entities as of December 31, 2010.</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(or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and modified regulations initially issued in 1930.</w:t>
      </w:r>
    </w:p>
    <w:p>
      <w:pPr>
        <w:spacing w:after="0" w:line="174"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Central Bank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(or the Central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its seven-member board of directors. Each director serves a five-year term. Of the seven directors, four are selected by the executive branch and three are selected by the Congress. The Chairman of the Central Bank is one of the executive branch nominees but must be approved by Peru’s Congress.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Bank’s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04" w:lineRule="exact"/>
        <w:rPr>
          <w:sz w:val="20"/>
          <w:szCs w:val="20"/>
          <w:color w:val="auto"/>
        </w:rPr>
      </w:pPr>
    </w:p>
    <w:p>
      <w:pPr>
        <w:ind w:left="1320" w:hanging="650"/>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SBS (Peruvian Bank Superintendency)</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in charge of implementing and enforcing Law 26702 and, more generally, supervising and regulating all financial, insurance and pension fund institutions in Peru.</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2008, Law 1028 and 1052 were approved modifying Law 26702 with the following objectives: (i) to strengthen and to increase competitiveness, (ii) to implement Basel II and (iii) to adapt the current regulatory framework to the Agreement of Commercial Promotion, APC, signed between Peru and the United States.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main amendments defined in Law 1028 were aimed to promote the development of Peruvian capital market by extending the range of financial services that could be offered by microfinance institutions (</w:t>
      </w:r>
      <w:r>
        <w:rPr>
          <w:rFonts w:ascii="Arial" w:cs="Arial" w:eastAsia="Arial" w:hAnsi="Arial"/>
          <w:sz w:val="18"/>
          <w:szCs w:val="18"/>
          <w:i w:val="1"/>
          <w:iCs w:val="1"/>
          <w:color w:val="auto"/>
        </w:rPr>
        <w:t>i.e.</w:t>
      </w:r>
      <w:r>
        <w:rPr>
          <w:rFonts w:ascii="Arial" w:cs="Arial" w:eastAsia="Arial" w:hAnsi="Arial"/>
          <w:sz w:val="18"/>
          <w:szCs w:val="18"/>
          <w:color w:val="auto"/>
        </w:rPr>
        <w:t>, non-banks) without requiring SBS authorization.</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1028 also modified the framework in which the Peruvian financial system is to be harmonized with the new international standards established by the Basel II Accord (which aims to minimize the issues regarding regulatory arbitrage). Since July 2009, Peruvian financial institutions apply the standardized method to calculate their capital requirement related to credit, market and operational risk. Also, from July 2009, the SBS started receiving applications to use Internal Models Methods for any of these three risks. Meanwhile, if an institution requires lower capital using its internal models than by using the current approach, it will have to maintain between 80% and 95% of the higher amount during the first years.</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Law 1052 aims to include and synchronize Law 26702 and the APC’s framework, particularly regarding insurance services. The amendments allow offering cross-border services and have simplified the process for international institutions to enter into the Peruvian market by establishing subsidiaries.</w:t>
      </w:r>
    </w:p>
    <w:p>
      <w:pPr>
        <w:spacing w:after="0" w:line="14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Financial System Institutions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(i) receiving money from the public, whether by deposits or by any other form of contract, and (ii) using such money (together with the bank’s own capital and funds obtained from other sources) to grant loans or discount documents, or in operations that are subject to market risks.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4" w:name="page45"/>
    <w:bookmarkEnd w:id="44"/>
    <w:p>
      <w:pPr>
        <w:jc w:val="both"/>
        <w:ind w:firstLine="648"/>
        <w:spacing w:after="0" w:line="287"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with the mortgage loans;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those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Banks may also promote and direct operations in foreign commerce, underwrite initial public offerings, and provide financial advisory services apart from the administration of their clients’ investment portfolios. By forming a separate department within the bank, banks may also act as trustees in trust agreements.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to establish and administer mutual funds.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Peruvian banks. Multinational banks, with operations in various countries, may perform the same activities as Peruvian banks, although their foreign activities are not subject to Peruvian regulations. To carry out banking operations in the local market, multinational banks must maintain a certain portion of their capital in Peru, in at least the minimum amount that is required of Peruvian banks.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and (ii) participating in derivative operations. These operations can be carried out by finance companies only if they fulfill the requirements stated by the Peruvian Bank Superintendency.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where goods are leased over the term of the contract and in which one party has the option of purchasing the goods at a predetermined price. Savings and loans associations or cooperatives may accept certain types of savings deposits and provide other similar financial services.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the Peruvian insurance industry was deregulated in 1991, insurance companies have been authorized to conduct all types of operations and to enter into all forms of agreements that are needed to offer risk coverage to customers. Insurance companies may also invest in financial and non-financial assets, although they are subject to the regulations on investments and reserves established in Law 26702 and the regulations issued by the SBS.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The formation of an insurance company requires prior authorization of the SBS.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2010.</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5" w:name="page46"/>
    <w:bookmarkEnd w:id="45"/>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52"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there are no applicable regulations under Bermuda laws that are likely to materially impact our operations as they are currently structured. Under Bermuda law, there is no regulation applicable to us, as a holding company that would require that we separate the operations of our subsidiaries incorporated and existing outside Bermuda. Since our activities will be conducted primarily through our subsidiaries in Peru, the Cayman Islands and Bolivia, a summary of Peruvian banking and insurance regulations and Cayman Islands banking regulations is set forth below.</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shares are listed on the New York Stock Exchange (NYSE). We are therefore subject to regulation by the NYSE and the Securities and Exchange Commission (SEC) as a “foreign private issuer.” We also must comply with the Sarbanes-Oxley Act of 2002.</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along with BCP, subject to certain requirements set forth in Peruvian Law 26702 (“Peruvian Banking Law” or “Law 26702”) as well as certain banking statutes issued by the Peruvian banking regulator, Superintendencia de Banca y Seguros y AFP (SBS), including SBS Resolution No. 11823-2010, enacted in September 2010 and which approved the “Regulation of the Consolidated Supervision of Financial and Mixed Conglomerates.” These regulations affect BCP and us primarily in the areas of reporting, risk control guidelines, limitations, ratios and capital requirements.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Since our common shares are listed on the Lima Stock Exchange in addition to the New York Stock Exchange, we are subject to certain reporting requirements to CONASEV, the Peruvian securities market regulator, and the Lima Stock Exchange.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9. The Offer and Listing—(C) Markets—The Lima Stock Exchange—(ii) Market Regulation.”</w:t>
      </w:r>
    </w:p>
    <w:p>
      <w:pPr>
        <w:spacing w:after="0" w:line="204"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BCP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BCP’s operations are regulated by Peruvian law. The regulations for the operation of the Peruvian financial sector are stated in Law 26702. The SBS periodically issues resolutions that cause Law 26702 to be developed. </w:t>
      </w:r>
      <w:r>
        <w:rPr>
          <w:rFonts w:ascii="Arial" w:cs="Arial" w:eastAsia="Arial" w:hAnsi="Arial"/>
          <w:sz w:val="16"/>
          <w:szCs w:val="16"/>
          <w:i w:val="1"/>
          <w:iCs w:val="1"/>
          <w:color w:val="auto"/>
        </w:rPr>
        <w:t>See</w:t>
      </w:r>
      <w:r>
        <w:rPr>
          <w:rFonts w:ascii="Arial" w:cs="Arial" w:eastAsia="Arial" w:hAnsi="Arial"/>
          <w:sz w:val="16"/>
          <w:szCs w:val="16"/>
          <w:color w:val="auto"/>
        </w:rPr>
        <w:t xml:space="preserve"> “—(10) The Peruvian Financial System.” The SBS, under the direction of the Superintendency of Banks and Insurance Companies, supervises and regulates entities that Law 26702 classifies as financial institutions. These entities include commercial banks, finance companies, small business finance companies, savings and loan corporations, financial services companies such as trust companies and investment banks, and insurance companies. Financial institutions must seek the SBS’s authorization before beginning operations.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operations are supervised and regulated by the SBS and the Central Bank. Those who violate Law 26702 and its underlying regulations are subject to administrative sanctions and criminal penalties. Additionally, the SBS and the Central Bank have the authority to issue fines to financial institutions and their directors and officers if they violate the laws or regulations of Peru, or their own institutions’ bye-laws.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CONASEV is the Peruvian government institution in charge of (i) promoting the securities market, (ii) making sure fair competition takes place in the securities markets, (iii) supervising the management of businesses that trade in the securities markets and (iv) regulating their activities and accounting practices. BCP must inform CONASEV of significant events that affect its business and is required to provide financial statements to it and the Lima Stock Exchange each quarter. BCP is also regulated by CONASEV through Credibolsa, which is BCP’s wholly-owned brokerage house, and Credifondo, which is BCP’s wholly-owned mutual fund administration company. CONASEV examines Credibolsa and Credifondo on a regular basis.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banks may conduct brokerage operations and administer mutual funds but must do so through subsidiaries. However, bank employees may market the financial products of the bank’s brokerage and mutual fund subsidiaries. Banks are prohibited from issuing insurance policies, but are not prohibited from distributing insurance policies issued by insurance companies.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which are regulated by CONASEV – Comisión Nacional Supervisora de Empresas y Valores), insurance and reinsurance companies, companies that receive deposits from the general public, pension funds private administrators (“AFPs”) and other similar entities as defined by the law. The SBS is also responsible for supervising the Central Bank to ensure that it abides by its statutory charter and bye-laws.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SBS has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us); (iv) reviewing the bye-laws and amendments of bye-laws of these companies; (v) issuing criteria governing the transfer of bank shares, when permitted by law, for valuation of assets and liabilities and for minimum capital requirements; and (vi) 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them, the SBS is also responsible for stating the criteria relating to the existence of financial or mixed conglomerates in Peru and their supervising.</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058" w:gutter="0" w:footer="0" w:header="0"/>
        </w:sectPr>
      </w:pPr>
    </w:p>
    <w:bookmarkStart w:id="46" w:name="page47"/>
    <w:bookmarkEnd w:id="46"/>
    <w:p>
      <w:pPr>
        <w:jc w:val="both"/>
        <w:ind w:right="20" w:firstLine="648"/>
        <w:spacing w:after="0" w:line="277" w:lineRule="auto"/>
        <w:rPr>
          <w:sz w:val="20"/>
          <w:szCs w:val="20"/>
          <w:color w:val="auto"/>
        </w:rPr>
      </w:pPr>
      <w:r>
        <w:rPr>
          <w:rFonts w:ascii="Arial" w:cs="Arial" w:eastAsia="Arial" w:hAnsi="Arial"/>
          <w:sz w:val="18"/>
          <w:szCs w:val="18"/>
          <w:color w:val="auto"/>
        </w:rPr>
        <w:t>As a consequence of it, despite its supervising to BCP, the SBS also supervises Credicorp Ltd. on the basis that we are a financial conglomerate conducting the majority of our operations in Peru.</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Resolutions No. 006-2002 and 37-2008 established guidelines for operational risk management, which includes a broad range of risks and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and continuity of their operations and services in order to minimize possible financial losses and reputation damage due to inadequate or non-existent policies or procedures.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following these SBS guidelines, as well as the guidelines issued by the Basel Committee on Banking Supervision, and the advice of international consultants, has appointed a specialized team that is responsible for operational risk management across our organization. This team reports regularly to our risk committee, top managers and Board of Directors.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be guided by the risk control standards of international financial institutions that are noted for their leadership in this field. Our overall objective is to implement an efficient and permanent monitoring system to control operational risks, while the actual management of risk control procedures is conducted by the areas that carry out critical activities.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2009, we broadened the responsibility of our operational risk team. First, along with critical processes and new products risk analysis, we are assessing operational risks related to critical suppliers, critical information assets, and technological components. Secondly, we have also fully developed the business continuity management (BCM) discipline, which involves the implementation of continuity plans for critical business processes, incident management and training and testing. Thirdly, we implement procedures to register, collect, analyze and report operational risk losses looking forward to advanced models to operational risk capital allocation requirements. Lastly, we created a monitoring and reporting team, whose main objective is to follow up the actions plans, monitor Key Risk Indicators (KRIs) and other performance indicators.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Section 404 of the Sarbanes-Oxley Act of 2002, we are required to make certain certifications regarding our internal controls over financial reporting as of December 31, 2010. We have developed internal methods to evaluate how effective our internal controls are over our financial reporting. In addition, we are implementing computer programs that will allow us to continuously monitor, assess and document our internal controls.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capital adequacy requirements are set forth in the Peruvian Banking Law (Law 26702) and monitored and regulated by the Superintendency of Banks, Insurance and Private Pension Funds Administrators (the “SBS”). Law 26702 was enacted in December 1996 and amended in June 2008 through Legislative Decree 1028. The amendment became effective in July 2009 and required the capital guidelines to conform to the standards established by the second Basel Accord (Basel II).</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Basel II standards modified the methodology to measure credit, market and operational risks to allow the use of standardized and internal model-based methods. Basel II standards also allow Peruvian financial institutions to request authorization from the SBS to implement an internal ratings-based (“IRB”) methodology.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institutions that receive approval from the SBS to use the IRB methodology are subject to regulatory capital floors. The amount of capital required may not be less than the percentage of capital required under an alternative methodology.</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2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First Year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Second Year</w:t>
            </w:r>
          </w:p>
        </w:tc>
        <w:tc>
          <w:tcPr>
            <w:tcW w:w="1320" w:type="dxa"/>
            <w:vAlign w:val="bottom"/>
          </w:tcPr>
          <w:p>
            <w:pPr>
              <w:ind w:left="220"/>
              <w:spacing w:after="0"/>
              <w:rPr>
                <w:sz w:val="20"/>
                <w:szCs w:val="20"/>
                <w:color w:val="auto"/>
              </w:rPr>
            </w:pPr>
            <w:r>
              <w:rPr>
                <w:rFonts w:ascii="Arial" w:cs="Arial" w:eastAsia="Arial" w:hAnsi="Arial"/>
                <w:sz w:val="18"/>
                <w:szCs w:val="18"/>
                <w:b w:val="1"/>
                <w:bCs w:val="1"/>
                <w:color w:val="auto"/>
              </w:rPr>
              <w:t>Third Year</w:t>
            </w:r>
          </w:p>
        </w:tc>
      </w:tr>
      <w:tr>
        <w:trPr>
          <w:trHeight w:val="216"/>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Basic IRB and Internal Models of Credit Risk</w:t>
            </w:r>
          </w:p>
        </w:tc>
        <w:tc>
          <w:tcPr>
            <w:tcW w:w="1620" w:type="dxa"/>
            <w:vAlign w:val="bottom"/>
            <w:shd w:val="clear" w:color="auto" w:fill="CCFFCC"/>
          </w:tcPr>
          <w:p>
            <w:pPr>
              <w:jc w:val="center"/>
              <w:ind w:left="250"/>
              <w:spacing w:after="0"/>
              <w:rPr>
                <w:sz w:val="20"/>
                <w:szCs w:val="20"/>
                <w:color w:val="auto"/>
              </w:rPr>
            </w:pPr>
            <w:r>
              <w:rPr>
                <w:rFonts w:ascii="Arial" w:cs="Arial" w:eastAsia="Arial" w:hAnsi="Arial"/>
                <w:sz w:val="18"/>
                <w:szCs w:val="18"/>
                <w:color w:val="auto"/>
                <w:w w:val="88"/>
              </w:rPr>
              <w:t>95%</w:t>
            </w:r>
          </w:p>
        </w:tc>
        <w:tc>
          <w:tcPr>
            <w:tcW w:w="14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90%</w:t>
            </w:r>
          </w:p>
        </w:tc>
        <w:tc>
          <w:tcPr>
            <w:tcW w:w="132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Advanced Models of Credit Risk and/or Operational Risk</w:t>
            </w:r>
          </w:p>
        </w:tc>
        <w:tc>
          <w:tcPr>
            <w:tcW w:w="1620" w:type="dxa"/>
            <w:vAlign w:val="bottom"/>
          </w:tcPr>
          <w:p>
            <w:pPr>
              <w:jc w:val="center"/>
              <w:ind w:left="250"/>
              <w:spacing w:after="0"/>
              <w:rPr>
                <w:sz w:val="20"/>
                <w:szCs w:val="20"/>
                <w:color w:val="auto"/>
              </w:rPr>
            </w:pPr>
            <w:r>
              <w:rPr>
                <w:rFonts w:ascii="Arial" w:cs="Arial" w:eastAsia="Arial" w:hAnsi="Arial"/>
                <w:sz w:val="18"/>
                <w:szCs w:val="18"/>
                <w:color w:val="auto"/>
                <w:w w:val="88"/>
              </w:rPr>
              <w:t>90%</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p>
      <w:pPr>
        <w:jc w:val="both"/>
        <w:ind w:firstLine="648"/>
        <w:spacing w:after="0" w:line="312" w:lineRule="auto"/>
        <w:rPr>
          <w:sz w:val="20"/>
          <w:szCs w:val="20"/>
          <w:color w:val="auto"/>
        </w:rPr>
      </w:pPr>
      <w:r>
        <w:rPr>
          <w:rFonts w:ascii="Arial" w:cs="Arial" w:eastAsia="Arial" w:hAnsi="Arial"/>
          <w:sz w:val="16"/>
          <w:szCs w:val="16"/>
          <w:color w:val="auto"/>
        </w:rPr>
        <w:t>Prior to June 2009, the capital requirements were based upon the guidelines established by the first Basel Accord (Basel I). Financial institutions were required to limit risk-weighted assets to 11 times their regulatory capital (“patrimonio efectivo”), which is equivalent to a minimum capital ratio of 9.09% of risk-weighted assets. Risk-weighted assets were calculated based upon five risk categories depending on the perceived risk of each asset class.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Basel II guidelines, financial institutions are required to hold regulatory capital (“patrimonio efectivo”) that is greater than or equal to the sum of (i) 10% of credit risk-weighted assets, and (ii) 10 times the amount required to cover market and operational risks. The new minimum capital requirements are being implemented as follows.</w:t>
      </w:r>
    </w:p>
    <w:p>
      <w:pPr>
        <w:spacing w:after="0" w:line="16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4"/>
              </w:rPr>
              <w:t>Regulatory capital</w:t>
            </w:r>
          </w:p>
        </w:tc>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45"/>
        </w:trPr>
        <w:tc>
          <w:tcPr>
            <w:tcW w:w="2300" w:type="dxa"/>
            <w:vAlign w:val="bottom"/>
          </w:tcPr>
          <w:p>
            <w:pPr>
              <w:jc w:val="center"/>
              <w:spacing w:after="0" w:line="145" w:lineRule="exact"/>
              <w:rPr>
                <w:sz w:val="20"/>
                <w:szCs w:val="20"/>
                <w:color w:val="auto"/>
              </w:rPr>
            </w:pPr>
            <w:r>
              <w:rPr>
                <w:rFonts w:ascii="Arial" w:cs="Arial" w:eastAsia="Arial" w:hAnsi="Arial"/>
                <w:sz w:val="14"/>
                <w:szCs w:val="14"/>
                <w:color w:val="auto"/>
                <w:w w:val="96"/>
              </w:rPr>
              <w:t>Implementation</w:t>
            </w:r>
          </w:p>
        </w:tc>
        <w:tc>
          <w:tcPr>
            <w:tcW w:w="180" w:type="dxa"/>
            <w:vAlign w:val="bottom"/>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Arial" w:cs="Arial" w:eastAsia="Arial" w:hAnsi="Arial"/>
                <w:sz w:val="14"/>
                <w:szCs w:val="14"/>
                <w:color w:val="auto"/>
                <w:w w:val="95"/>
              </w:rPr>
              <w:t>(% of total weighted</w:t>
            </w:r>
          </w:p>
        </w:tc>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r>
      <w:tr>
        <w:trPr>
          <w:trHeight w:val="178"/>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assets)</w:t>
            </w:r>
          </w:p>
        </w:tc>
        <w:tc>
          <w:tcPr>
            <w:tcW w:w="18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Total risk-weighted assets</w:t>
            </w:r>
          </w:p>
        </w:tc>
      </w:tr>
      <w:tr>
        <w:trPr>
          <w:trHeight w:val="130"/>
        </w:trPr>
        <w:tc>
          <w:tcPr>
            <w:tcW w:w="2300" w:type="dxa"/>
            <w:vAlign w:val="bottom"/>
            <w:shd w:val="clear" w:color="auto" w:fill="CCFFCC"/>
          </w:tcPr>
          <w:p>
            <w:pPr>
              <w:jc w:val="center"/>
              <w:spacing w:after="0" w:line="130" w:lineRule="exact"/>
              <w:rPr>
                <w:sz w:val="20"/>
                <w:szCs w:val="20"/>
                <w:color w:val="auto"/>
              </w:rPr>
            </w:pPr>
            <w:r>
              <w:rPr>
                <w:rFonts w:ascii="Arial" w:cs="Arial" w:eastAsia="Arial" w:hAnsi="Arial"/>
                <w:sz w:val="14"/>
                <w:szCs w:val="14"/>
                <w:color w:val="auto"/>
                <w:w w:val="92"/>
              </w:rPr>
              <w:t>July 1st, 2009</w:t>
            </w:r>
          </w:p>
        </w:tc>
        <w:tc>
          <w:tcPr>
            <w:tcW w:w="2080" w:type="dxa"/>
            <w:vAlign w:val="bottom"/>
            <w:gridSpan w:val="2"/>
            <w:shd w:val="clear" w:color="auto" w:fill="CCFFCC"/>
          </w:tcPr>
          <w:p>
            <w:pPr>
              <w:jc w:val="center"/>
              <w:ind w:left="108"/>
              <w:spacing w:after="0" w:line="130" w:lineRule="exact"/>
              <w:rPr>
                <w:sz w:val="20"/>
                <w:szCs w:val="20"/>
                <w:color w:val="auto"/>
              </w:rPr>
            </w:pPr>
            <w:r>
              <w:rPr>
                <w:rFonts w:ascii="Arial" w:cs="Arial" w:eastAsia="Arial" w:hAnsi="Arial"/>
                <w:sz w:val="14"/>
                <w:szCs w:val="14"/>
                <w:color w:val="auto"/>
                <w:w w:val="93"/>
              </w:rPr>
              <w:t>9.5%</w:t>
            </w:r>
          </w:p>
        </w:tc>
        <w:tc>
          <w:tcPr>
            <w:tcW w:w="180" w:type="dxa"/>
            <w:vAlign w:val="bottom"/>
            <w:shd w:val="clear" w:color="auto" w:fill="CCFFCC"/>
          </w:tcPr>
          <w:p>
            <w:pPr>
              <w:spacing w:after="0"/>
              <w:rPr>
                <w:sz w:val="11"/>
                <w:szCs w:val="11"/>
                <w:color w:val="auto"/>
              </w:rPr>
            </w:pPr>
          </w:p>
        </w:tc>
        <w:tc>
          <w:tcPr>
            <w:tcW w:w="4560" w:type="dxa"/>
            <w:vAlign w:val="bottom"/>
            <w:shd w:val="clear" w:color="auto" w:fill="CCFFCC"/>
          </w:tcPr>
          <w:p>
            <w:pPr>
              <w:jc w:val="center"/>
              <w:spacing w:after="0" w:line="130" w:lineRule="exact"/>
              <w:rPr>
                <w:sz w:val="20"/>
                <w:szCs w:val="20"/>
                <w:color w:val="auto"/>
              </w:rPr>
            </w:pPr>
            <w:r>
              <w:rPr>
                <w:rFonts w:ascii="Arial" w:cs="Arial" w:eastAsia="Arial" w:hAnsi="Arial"/>
                <w:sz w:val="14"/>
                <w:szCs w:val="14"/>
                <w:color w:val="auto"/>
                <w:w w:val="92"/>
              </w:rPr>
              <w:t xml:space="preserve">10.5 </w:t>
            </w:r>
            <w:r>
              <w:rPr>
                <w:rFonts w:ascii="Arial" w:cs="Arial" w:eastAsia="Arial" w:hAnsi="Arial"/>
                <w:sz w:val="14"/>
                <w:szCs w:val="14"/>
                <w:i w:val="1"/>
                <w:iCs w:val="1"/>
                <w:color w:val="auto"/>
                <w:w w:val="92"/>
              </w:rPr>
              <w:t>times</w:t>
            </w:r>
            <w:r>
              <w:rPr>
                <w:rFonts w:ascii="Arial" w:cs="Arial" w:eastAsia="Arial" w:hAnsi="Arial"/>
                <w:sz w:val="14"/>
                <w:szCs w:val="14"/>
                <w:color w:val="auto"/>
                <w:w w:val="92"/>
              </w:rPr>
              <w:t xml:space="preserve"> the regulatory capital needed to cover market risks;</w:t>
            </w:r>
          </w:p>
        </w:tc>
      </w:tr>
      <w:tr>
        <w:trPr>
          <w:trHeight w:val="149"/>
        </w:trPr>
        <w:tc>
          <w:tcPr>
            <w:tcW w:w="23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i w:val="1"/>
                <w:iCs w:val="1"/>
                <w:color w:val="auto"/>
                <w:w w:val="93"/>
              </w:rPr>
              <w:t>plus</w:t>
            </w:r>
          </w:p>
        </w:tc>
      </w:tr>
      <w:tr>
        <w:trPr>
          <w:trHeight w:val="149"/>
        </w:trPr>
        <w:tc>
          <w:tcPr>
            <w:tcW w:w="23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 xml:space="preserve">10.5 </w:t>
            </w:r>
            <w:r>
              <w:rPr>
                <w:rFonts w:ascii="Arial" w:cs="Arial" w:eastAsia="Arial" w:hAnsi="Arial"/>
                <w:sz w:val="14"/>
                <w:szCs w:val="14"/>
                <w:i w:val="1"/>
                <w:iCs w:val="1"/>
                <w:color w:val="auto"/>
                <w:w w:val="93"/>
              </w:rPr>
              <w:t>times</w:t>
            </w:r>
            <w:r>
              <w:rPr>
                <w:rFonts w:ascii="Arial" w:cs="Arial" w:eastAsia="Arial" w:hAnsi="Arial"/>
                <w:sz w:val="14"/>
                <w:szCs w:val="14"/>
                <w:color w:val="auto"/>
                <w:w w:val="93"/>
              </w:rPr>
              <w:t xml:space="preserve"> regulatory capital needed to cover operational risks;</w:t>
            </w:r>
          </w:p>
        </w:tc>
      </w:tr>
      <w:tr>
        <w:trPr>
          <w:trHeight w:val="149"/>
        </w:trPr>
        <w:tc>
          <w:tcPr>
            <w:tcW w:w="23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i w:val="1"/>
                <w:iCs w:val="1"/>
                <w:color w:val="auto"/>
                <w:w w:val="93"/>
              </w:rPr>
              <w:t>plus</w:t>
            </w:r>
          </w:p>
        </w:tc>
      </w:tr>
      <w:tr>
        <w:trPr>
          <w:trHeight w:val="167"/>
        </w:trPr>
        <w:tc>
          <w:tcPr>
            <w:tcW w:w="23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9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45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Total amount of credit risk-weighted assets.</w:t>
            </w:r>
          </w:p>
        </w:tc>
      </w:tr>
      <w:tr>
        <w:trPr>
          <w:trHeight w:val="130"/>
        </w:trPr>
        <w:tc>
          <w:tcPr>
            <w:tcW w:w="2300" w:type="dxa"/>
            <w:vAlign w:val="bottom"/>
          </w:tcPr>
          <w:p>
            <w:pPr>
              <w:jc w:val="center"/>
              <w:spacing w:after="0" w:line="130" w:lineRule="exact"/>
              <w:rPr>
                <w:sz w:val="20"/>
                <w:szCs w:val="20"/>
                <w:color w:val="auto"/>
              </w:rPr>
            </w:pPr>
            <w:r>
              <w:rPr>
                <w:rFonts w:ascii="Arial" w:cs="Arial" w:eastAsia="Arial" w:hAnsi="Arial"/>
                <w:sz w:val="14"/>
                <w:szCs w:val="14"/>
                <w:color w:val="auto"/>
                <w:w w:val="92"/>
              </w:rPr>
              <w:t>July 1st, 2010</w:t>
            </w:r>
          </w:p>
        </w:tc>
        <w:tc>
          <w:tcPr>
            <w:tcW w:w="2080" w:type="dxa"/>
            <w:vAlign w:val="bottom"/>
            <w:gridSpan w:val="2"/>
          </w:tcPr>
          <w:p>
            <w:pPr>
              <w:jc w:val="center"/>
              <w:ind w:left="108"/>
              <w:spacing w:after="0" w:line="130" w:lineRule="exact"/>
              <w:rPr>
                <w:sz w:val="20"/>
                <w:szCs w:val="20"/>
                <w:color w:val="auto"/>
              </w:rPr>
            </w:pPr>
            <w:r>
              <w:rPr>
                <w:rFonts w:ascii="Arial" w:cs="Arial" w:eastAsia="Arial" w:hAnsi="Arial"/>
                <w:sz w:val="14"/>
                <w:szCs w:val="14"/>
                <w:color w:val="auto"/>
                <w:w w:val="93"/>
              </w:rPr>
              <w:t>9.8%</w:t>
            </w:r>
          </w:p>
        </w:tc>
        <w:tc>
          <w:tcPr>
            <w:tcW w:w="180" w:type="dxa"/>
            <w:vAlign w:val="bottom"/>
          </w:tcPr>
          <w:p>
            <w:pPr>
              <w:spacing w:after="0"/>
              <w:rPr>
                <w:sz w:val="11"/>
                <w:szCs w:val="11"/>
                <w:color w:val="auto"/>
              </w:rPr>
            </w:pPr>
          </w:p>
        </w:tc>
        <w:tc>
          <w:tcPr>
            <w:tcW w:w="4560" w:type="dxa"/>
            <w:vAlign w:val="bottom"/>
          </w:tcPr>
          <w:p>
            <w:pPr>
              <w:jc w:val="center"/>
              <w:spacing w:after="0" w:line="130" w:lineRule="exact"/>
              <w:rPr>
                <w:sz w:val="20"/>
                <w:szCs w:val="20"/>
                <w:color w:val="auto"/>
              </w:rPr>
            </w:pPr>
            <w:r>
              <w:rPr>
                <w:rFonts w:ascii="Arial" w:cs="Arial" w:eastAsia="Arial" w:hAnsi="Arial"/>
                <w:sz w:val="14"/>
                <w:szCs w:val="14"/>
                <w:color w:val="auto"/>
                <w:w w:val="92"/>
              </w:rPr>
              <w:t xml:space="preserve">10.2 </w:t>
            </w:r>
            <w:r>
              <w:rPr>
                <w:rFonts w:ascii="Arial" w:cs="Arial" w:eastAsia="Arial" w:hAnsi="Arial"/>
                <w:sz w:val="14"/>
                <w:szCs w:val="14"/>
                <w:i w:val="1"/>
                <w:iCs w:val="1"/>
                <w:color w:val="auto"/>
                <w:w w:val="92"/>
              </w:rPr>
              <w:t>times</w:t>
            </w:r>
            <w:r>
              <w:rPr>
                <w:rFonts w:ascii="Arial" w:cs="Arial" w:eastAsia="Arial" w:hAnsi="Arial"/>
                <w:sz w:val="14"/>
                <w:szCs w:val="14"/>
                <w:color w:val="auto"/>
                <w:w w:val="92"/>
              </w:rPr>
              <w:t xml:space="preserve"> the regulatory capital needed to cover market risks;</w:t>
            </w:r>
          </w:p>
        </w:tc>
      </w:t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plus</w:t>
            </w:r>
          </w:p>
        </w:tc>
      </w:t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60" w:type="dxa"/>
            <w:vAlign w:val="bottom"/>
          </w:tcPr>
          <w:p>
            <w:pPr>
              <w:jc w:val="center"/>
              <w:spacing w:after="0" w:line="149" w:lineRule="exact"/>
              <w:rPr>
                <w:sz w:val="20"/>
                <w:szCs w:val="20"/>
                <w:color w:val="auto"/>
              </w:rPr>
            </w:pPr>
            <w:r>
              <w:rPr>
                <w:rFonts w:ascii="Arial" w:cs="Arial" w:eastAsia="Arial" w:hAnsi="Arial"/>
                <w:sz w:val="14"/>
                <w:szCs w:val="14"/>
                <w:color w:val="auto"/>
                <w:w w:val="93"/>
              </w:rPr>
              <w:t xml:space="preserve">10.2 </w:t>
            </w:r>
            <w:r>
              <w:rPr>
                <w:rFonts w:ascii="Arial" w:cs="Arial" w:eastAsia="Arial" w:hAnsi="Arial"/>
                <w:sz w:val="14"/>
                <w:szCs w:val="14"/>
                <w:i w:val="1"/>
                <w:iCs w:val="1"/>
                <w:color w:val="auto"/>
                <w:w w:val="93"/>
              </w:rPr>
              <w:t>times</w:t>
            </w:r>
            <w:r>
              <w:rPr>
                <w:rFonts w:ascii="Arial" w:cs="Arial" w:eastAsia="Arial" w:hAnsi="Arial"/>
                <w:sz w:val="14"/>
                <w:szCs w:val="14"/>
                <w:color w:val="auto"/>
                <w:w w:val="93"/>
              </w:rPr>
              <w:t xml:space="preserve"> the regulatory capital needed to cover operational risks;</w:t>
            </w:r>
          </w:p>
        </w:tc>
      </w:tr>
      <w:tr>
        <w:trPr>
          <w:trHeight w:val="149"/>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6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plus</w:t>
            </w:r>
          </w:p>
        </w:tc>
      </w:tr>
      <w:tr>
        <w:trPr>
          <w:trHeight w:val="167"/>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color w:val="auto"/>
                <w:w w:val="93"/>
              </w:rPr>
              <w:t>Total amount of credit risk-weighted assets.</w:t>
            </w:r>
          </w:p>
        </w:tc>
      </w:tr>
      <w:tr>
        <w:trPr>
          <w:trHeight w:val="130"/>
        </w:trPr>
        <w:tc>
          <w:tcPr>
            <w:tcW w:w="2300" w:type="dxa"/>
            <w:vAlign w:val="bottom"/>
            <w:shd w:val="clear" w:color="auto" w:fill="CCFFCC"/>
          </w:tcPr>
          <w:p>
            <w:pPr>
              <w:jc w:val="center"/>
              <w:spacing w:after="0" w:line="130" w:lineRule="exact"/>
              <w:rPr>
                <w:sz w:val="20"/>
                <w:szCs w:val="20"/>
                <w:color w:val="auto"/>
              </w:rPr>
            </w:pPr>
            <w:r>
              <w:rPr>
                <w:rFonts w:ascii="Arial" w:cs="Arial" w:eastAsia="Arial" w:hAnsi="Arial"/>
                <w:sz w:val="14"/>
                <w:szCs w:val="14"/>
                <w:color w:val="auto"/>
                <w:w w:val="92"/>
              </w:rPr>
              <w:t>July 1st, 2011</w:t>
            </w:r>
          </w:p>
        </w:tc>
        <w:tc>
          <w:tcPr>
            <w:tcW w:w="2080" w:type="dxa"/>
            <w:vAlign w:val="bottom"/>
            <w:gridSpan w:val="2"/>
            <w:shd w:val="clear" w:color="auto" w:fill="CCFFCC"/>
          </w:tcPr>
          <w:p>
            <w:pPr>
              <w:jc w:val="center"/>
              <w:ind w:left="108"/>
              <w:spacing w:after="0" w:line="130" w:lineRule="exact"/>
              <w:rPr>
                <w:sz w:val="20"/>
                <w:szCs w:val="20"/>
                <w:color w:val="auto"/>
              </w:rPr>
            </w:pPr>
            <w:r>
              <w:rPr>
                <w:rFonts w:ascii="Arial" w:cs="Arial" w:eastAsia="Arial" w:hAnsi="Arial"/>
                <w:sz w:val="14"/>
                <w:szCs w:val="14"/>
                <w:color w:val="auto"/>
                <w:w w:val="92"/>
              </w:rPr>
              <w:t>10%</w:t>
            </w:r>
          </w:p>
        </w:tc>
        <w:tc>
          <w:tcPr>
            <w:tcW w:w="180" w:type="dxa"/>
            <w:vAlign w:val="bottom"/>
            <w:shd w:val="clear" w:color="auto" w:fill="CCFFCC"/>
          </w:tcPr>
          <w:p>
            <w:pPr>
              <w:spacing w:after="0"/>
              <w:rPr>
                <w:sz w:val="11"/>
                <w:szCs w:val="11"/>
                <w:color w:val="auto"/>
              </w:rPr>
            </w:pPr>
          </w:p>
        </w:tc>
        <w:tc>
          <w:tcPr>
            <w:tcW w:w="4560" w:type="dxa"/>
            <w:vAlign w:val="bottom"/>
            <w:shd w:val="clear" w:color="auto" w:fill="CCFFCC"/>
          </w:tcPr>
          <w:p>
            <w:pPr>
              <w:jc w:val="center"/>
              <w:spacing w:after="0" w:line="130" w:lineRule="exact"/>
              <w:rPr>
                <w:sz w:val="20"/>
                <w:szCs w:val="20"/>
                <w:color w:val="auto"/>
              </w:rPr>
            </w:pPr>
            <w:r>
              <w:rPr>
                <w:rFonts w:ascii="Arial" w:cs="Arial" w:eastAsia="Arial" w:hAnsi="Arial"/>
                <w:sz w:val="14"/>
                <w:szCs w:val="14"/>
                <w:color w:val="auto"/>
                <w:w w:val="92"/>
              </w:rPr>
              <w:t xml:space="preserve">10 </w:t>
            </w:r>
            <w:r>
              <w:rPr>
                <w:rFonts w:ascii="Arial" w:cs="Arial" w:eastAsia="Arial" w:hAnsi="Arial"/>
                <w:sz w:val="14"/>
                <w:szCs w:val="14"/>
                <w:i w:val="1"/>
                <w:iCs w:val="1"/>
                <w:color w:val="auto"/>
                <w:w w:val="92"/>
              </w:rPr>
              <w:t>times</w:t>
            </w:r>
            <w:r>
              <w:rPr>
                <w:rFonts w:ascii="Arial" w:cs="Arial" w:eastAsia="Arial" w:hAnsi="Arial"/>
                <w:sz w:val="14"/>
                <w:szCs w:val="14"/>
                <w:color w:val="auto"/>
                <w:w w:val="92"/>
              </w:rPr>
              <w:t xml:space="preserve"> the regulatory capital needed to cover market risks;</w:t>
            </w:r>
          </w:p>
        </w:tc>
      </w:tr>
      <w:tr>
        <w:trPr>
          <w:trHeight w:val="149"/>
        </w:trPr>
        <w:tc>
          <w:tcPr>
            <w:tcW w:w="23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i w:val="1"/>
                <w:iCs w:val="1"/>
                <w:color w:val="auto"/>
                <w:w w:val="93"/>
              </w:rPr>
              <w:t>plus</w:t>
            </w:r>
          </w:p>
        </w:tc>
      </w:tr>
      <w:tr>
        <w:trPr>
          <w:trHeight w:val="149"/>
        </w:trPr>
        <w:tc>
          <w:tcPr>
            <w:tcW w:w="23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2"/>
              </w:rPr>
              <w:t xml:space="preserve">10 </w:t>
            </w:r>
            <w:r>
              <w:rPr>
                <w:rFonts w:ascii="Arial" w:cs="Arial" w:eastAsia="Arial" w:hAnsi="Arial"/>
                <w:sz w:val="14"/>
                <w:szCs w:val="14"/>
                <w:i w:val="1"/>
                <w:iCs w:val="1"/>
                <w:color w:val="auto"/>
                <w:w w:val="92"/>
              </w:rPr>
              <w:t>times</w:t>
            </w:r>
            <w:r>
              <w:rPr>
                <w:rFonts w:ascii="Arial" w:cs="Arial" w:eastAsia="Arial" w:hAnsi="Arial"/>
                <w:sz w:val="14"/>
                <w:szCs w:val="14"/>
                <w:color w:val="auto"/>
                <w:w w:val="92"/>
              </w:rPr>
              <w:t xml:space="preserve"> the regulatory capital needed to cover operational risks;</w:t>
            </w:r>
          </w:p>
        </w:tc>
      </w:tr>
      <w:tr>
        <w:trPr>
          <w:trHeight w:val="149"/>
        </w:trPr>
        <w:tc>
          <w:tcPr>
            <w:tcW w:w="23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4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i w:val="1"/>
                <w:iCs w:val="1"/>
                <w:color w:val="auto"/>
                <w:w w:val="93"/>
              </w:rPr>
              <w:t>plus</w:t>
            </w:r>
          </w:p>
        </w:tc>
      </w:tr>
      <w:tr>
        <w:trPr>
          <w:trHeight w:val="167"/>
        </w:trPr>
        <w:tc>
          <w:tcPr>
            <w:tcW w:w="23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9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45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Total amount of credit risk-weighted assets.</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is also an SBS initiative to introduce additional capital requirements inspired by Pillar 2 of Basel 2 and Basel 3. In particular, the SBS published a preliminary version of the additional requirements, which are mainly related to systemic risk, capital pro-cyclicality, interest rate risk in banking books and credit concentration risk. As of February 2011, the SBS was soliciting the banking industry’s views about these proposed regulations.</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Article 184 of Law 26702, as amended by Legislative Decree 1028, provides that regulatory capital may be used to cover credit risk, market risk and operational risk. Regulatory capital is comprised of the sum of basic capital and supplementary capital, and is calculated as follows:</w:t>
      </w:r>
    </w:p>
    <w:p>
      <w:pPr>
        <w:spacing w:after="0" w:line="174" w:lineRule="exact"/>
        <w:rPr>
          <w:sz w:val="20"/>
          <w:szCs w:val="20"/>
          <w:color w:val="auto"/>
        </w:rPr>
      </w:pPr>
    </w:p>
    <w:p>
      <w:pPr>
        <w:jc w:val="both"/>
        <w:ind w:left="660" w:hanging="328"/>
        <w:spacing w:after="0" w:line="270"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Basic Capita</w:t>
      </w:r>
      <w:r>
        <w:rPr>
          <w:rFonts w:ascii="Arial" w:cs="Arial" w:eastAsia="Arial" w:hAnsi="Arial"/>
          <w:sz w:val="17"/>
          <w:szCs w:val="17"/>
          <w:color w:val="auto"/>
        </w:rPr>
        <w:t>l: Basic Capital or Tier 1 capital is comprised of: (i) paid-in-capital (which includes common stock and perpetual non-cumulative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(ii) other elements that have characteristics of permanence and loss absorption that are in compliance with regulations enacted by the SBS; and (iii) unrealized gains in Subsidiaries. Items deducted from Tier 1 capital include: (i) current and past years’ unrealized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 The elements referred to in item (ii) above should not exceed 17.65% of the amount resulting from adding components (i) and (iii) of Tier 1 capital net of the deductions in (i), (ii) and (iii) in this paragraph.</w:t>
      </w:r>
    </w:p>
    <w:p>
      <w:pPr>
        <w:spacing w:after="0" w:line="208" w:lineRule="exact"/>
        <w:rPr>
          <w:rFonts w:ascii="Arial" w:cs="Arial" w:eastAsia="Arial" w:hAnsi="Arial"/>
          <w:sz w:val="17"/>
          <w:szCs w:val="17"/>
          <w:color w:val="auto"/>
        </w:rPr>
      </w:pPr>
    </w:p>
    <w:p>
      <w:pPr>
        <w:ind w:left="980" w:hanging="324"/>
        <w:spacing w:after="0"/>
        <w:tabs>
          <w:tab w:leader="none" w:pos="980"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Supplementary Capital: </w:t>
      </w:r>
      <w:r>
        <w:rPr>
          <w:rFonts w:ascii="Arial" w:cs="Arial" w:eastAsia="Arial" w:hAnsi="Arial"/>
          <w:sz w:val="16"/>
          <w:szCs w:val="16"/>
          <w:color w:val="auto"/>
        </w:rPr>
        <w:t>Supplementary capital is comprised of the sum of certain elements from Tier 2 capital and Tier 3 capital. Tier 2 capital</w:t>
      </w:r>
    </w:p>
    <w:p>
      <w:pPr>
        <w:spacing w:after="0" w:line="46" w:lineRule="exact"/>
        <w:rPr>
          <w:rFonts w:ascii="Arial" w:cs="Arial" w:eastAsia="Arial" w:hAnsi="Arial"/>
          <w:sz w:val="16"/>
          <w:szCs w:val="16"/>
          <w:color w:val="auto"/>
        </w:rPr>
      </w:pPr>
    </w:p>
    <w:p>
      <w:pPr>
        <w:jc w:val="both"/>
        <w:ind w:left="980"/>
        <w:spacing w:after="0" w:line="270" w:lineRule="auto"/>
        <w:rPr>
          <w:rFonts w:ascii="Arial" w:cs="Arial" w:eastAsia="Arial" w:hAnsi="Arial"/>
          <w:sz w:val="16"/>
          <w:szCs w:val="16"/>
          <w:color w:val="auto"/>
        </w:rPr>
      </w:pPr>
      <w:r>
        <w:rPr>
          <w:rFonts w:ascii="Arial" w:cs="Arial" w:eastAsia="Arial" w:hAnsi="Arial"/>
          <w:sz w:val="17"/>
          <w:szCs w:val="17"/>
          <w:color w:val="auto"/>
        </w:rPr>
        <w:t>elements include: (i) voluntary reserves that may be reduced without prior consent from the SBS; (ii) the eligible portion of redeemable subordinated debt and of any other components that have characteristics of debt and equity as provided by the SBS; (iii) for banks using the Standardized Approach Method (SAM), the generic loan loss provision up to 1.25% of credit risk-weighted assets; or, alternatively, for banks using the Internal Ratings-Based Method (IRB), the generic loan loss provision up to 0.6% of total credit risk-weighted assets (pursuant to article 189 of the Law); and (iv) half of the amount referred to in “Deductions” below. Tier 3 capital is comprised of redeemable subordinated debt that is incurred with the exclusive purpose of covering market risk, as referred to in Article 233 of the Law.</w:t>
      </w:r>
    </w:p>
    <w:p>
      <w:pPr>
        <w:spacing w:after="0" w:line="20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Deductions: </w:t>
      </w:r>
      <w:r>
        <w:rPr>
          <w:rFonts w:ascii="Arial" w:cs="Arial" w:eastAsia="Arial" w:hAnsi="Arial"/>
          <w:sz w:val="16"/>
          <w:szCs w:val="16"/>
          <w:color w:val="auto"/>
        </w:rPr>
        <w:t>The following are deducted from Tier 1 and Tier 2 capital: (i) all investments in shares and subordinated debt issued by other local</w:t>
      </w:r>
      <w:r>
        <w:rPr>
          <w:rFonts w:ascii="Arial" w:cs="Arial" w:eastAsia="Arial" w:hAnsi="Arial"/>
          <w:sz w:val="16"/>
          <w:szCs w:val="16"/>
          <w:i w:val="1"/>
          <w:iCs w:val="1"/>
          <w:color w:val="auto"/>
        </w:rPr>
        <w:t xml:space="preserve"> </w:t>
      </w:r>
      <w:r>
        <w:rPr>
          <w:rFonts w:ascii="Arial" w:cs="Arial" w:eastAsia="Arial" w:hAnsi="Arial"/>
          <w:sz w:val="16"/>
          <w:szCs w:val="16"/>
          <w:color w:val="auto"/>
        </w:rPr>
        <w:t>or foreign financial institutions and insurance companies; (ii) all investments in shares and subordinated debt issued by an affiliate with which the bank consolidates its financial statements, including its holding company and such subsidiaries referred to in Articles 34 and 224 of the Law;</w:t>
      </w:r>
    </w:p>
    <w:p>
      <w:pPr>
        <w:jc w:val="both"/>
        <w:ind w:left="980"/>
        <w:spacing w:after="0" w:line="271" w:lineRule="auto"/>
        <w:tabs>
          <w:tab w:leader="none" w:pos="1310" w:val="left"/>
        </w:tabs>
        <w:numPr>
          <w:ilvl w:val="2"/>
          <w:numId w:val="69"/>
        </w:numPr>
        <w:rPr>
          <w:rFonts w:ascii="Arial" w:cs="Arial" w:eastAsia="Arial" w:hAnsi="Arial"/>
          <w:sz w:val="17"/>
          <w:szCs w:val="17"/>
          <w:color w:val="auto"/>
        </w:rPr>
      </w:pPr>
      <w:r>
        <w:rPr>
          <w:rFonts w:ascii="Arial" w:cs="Arial" w:eastAsia="Arial" w:hAnsi="Arial"/>
          <w:sz w:val="17"/>
          <w:szCs w:val="17"/>
          <w:color w:val="auto"/>
        </w:rPr>
        <w:t>the amount in which an investment in shares issued by a company with which the bank does not consolidate its financial statements and which is not part of the bank’s negotiable portfolio, exceeds 15% of the bank’s regulatory capital; (iv) the aggregate amount of all investments in shares issued by companies with which the bank does not consolidate its financial statements and which are not part of the bank’s negotiable portfolio, exceeds 60% of the regulatory capital; (v) when applicable, the amount resulting from the formula prescribed in Article 189 of the Law. For the purposes herein, “regulatory capital” excludes the amounts referred to in (iii), (iv) and (iv) of this paragraph.</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Article 185 of the Law 26702 also provides that the following limits apply when calculating regulatory capital: (i) the aggregate amount of supplementary capital must not exceed the aggregate amount of basic capital; (ii) the amount of redeemable Tier 2 subordinated instruments must be limited to 50% of the amount resulting from the sum of Tier 1 elements net of the deductions in (i), (ii), and (iii) in “Basic Capital” above; (iii) the amount of Tier 3 capital must be limited to 250% of the amount resulting from the sum of Tier 1 elements net of the deductions (i), (ii), and (iii) in “Basic Capital” above in the amounts assigned to cover market risk.</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2010, BCP’s regulatory capital was 12.84% of unconsolidated risk-weighted assets, which is equivalent to having risk-weighted assets that are 7.79 times the amount of regulatory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Article 67 of Law 26702, all banks must maintain legal reserves. Each year a bank must allocate 10% of its net income to its legal reserves until its legal reserves are equal to 35% of its paid-in capital stock. Any subsequent increase in paid-in capital requires a corresponding increase in the amount of legal reserves. As of December 31, 2010, BCP’s legal reserves were S/.895.2 million (US$318.7 million), equivalent to 35.0% of BCP’s paid-in capital as of such date. Paid-in capital increased by S/.329.5 million during 2010 due to the capitalization of 2009.</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SBS has authority to establish loan reserves and issue guidelines for the provision of loan losses by Peruvian credit institutions, including commercial banks. SBS Resolution No. 41-2005, enacted in January 2005, requires additional provisions for loans subject to foreign exchange risk, which are recorded for local purposes. Since July 2010, SBS Resolution No. 11356-2008 has required commercial banks to implement a new framework for the assessment and classification of debtors. The resolution also required the establishment of pro-cyclical provisions starting December 2008. In September 2009 the “procyclical” provisions were canceled, but in September 2010 a new SBS resolution reinstated these kinds of provisions. We estimate and record our allowance for loan losses according to the criteria set out in IAS 39, adjusting the local provisions as necessary.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Notes 3(f)(ii) and 3(i) to the Credicorp Consolidated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SBS Resolution No. 505-2002 requires the establishment of provisions for exposure to country risk, which includes sovereign risk, transfer risk and expropriation or nationalization risk that may affect operations with companies or individuals in foreign countries. The SBS has also established guidelines for the procedures and responsibilities for the management of country risk.</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Law 26702, banks and financial institutions are required to maintain legal reserve requirements for certain obligations. The changes in the reserve requirement regulations were made in the second half of 2010 in accordance with the monetary policy adopted by the Central Bank.</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Central Bank requires financial instructions to maintain marginal reserve requirements for obligations for local and foreign currency obligations. The exact level and method of calculation of the reserve requirement is established by the Central Bank. The reserve requirements in Peru apply to obligations such as demand and time deposits, savings accounts, securities, certain bonds and funds administered by the bank. Additionally, the Central Bank requires reserves on amounts due to foreign banks and other foreign financial institutions. Furthermore, as of January 2011, obligations of foreign subsidiaries and affiliates are also subject to the reserve requirement. Funding from the public sector directed to the microfinance sector and foreign credits with periods of 2 years or more are not subject to the regulation, among other exemptions.</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June 2010, the Central Bank, as part of its monetary policy to restrict internal demand and the potential risk of inflation, has raised the minimum level of reserves that banks are required to hold by 3%, from 6% to 9%. In January 2010 the Central Bank set a new marginal reserve requirement on foreign credits with a period less than 2 years, in order to encourage long term capital inflows. The reserve ratio applied to foreign credits with that maturity has increased from 35% to 60% during the year. Currently, obligations are subject to a marginal reserve ratio of 55% in foreign currency and 25% in local currency. The reserve funds can be constituted by cash and deposits, with a minimum of 3% held in deposits in current accounts in the Central Bank.</w:t>
      </w:r>
    </w:p>
    <w:p>
      <w:pPr>
        <w:spacing w:after="0" w:line="33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The Central Bank establishes a remuneration rate on the marginal reserves, those that exceed the minimum legal requirement of 9%, only if such reserves are deposited in the Central Bank’s current account. Foreign currency cannot be used as reserve requirements for liabilities in domestic currency, and vice versa. The Central Bank oversees compliance with the reserve requirements.</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reference interest rate is periodically revised by the Central Bank in accordance with its monetary policy objectives. Once a month the board of directors of the Central Bank approves and announces the Monetary Program through a press release. The reference interest rate increased in 2008 reaching a maximum level of 6.5%. During 2009 the Central Bank started to loosen its monetary policy stance as a response to the deceleration of private spending and the deterioration of the economy. The Central Bank reduced the reference interest rate from 6.50% to 1.25% during that year. In May 2010 the Central Bank changed the direction of its monetary policy to a more restrictive position in light of the rapid growth of domestic demand and the potential for dangerous levels of inflation. Since then, there have been consecutive increases of the reference interest rate, which is currently 3.25%.</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past few years, the Central Bank has on numerous occasions changed the reserve requirement applicable to Peruvian financial institutions as part of its monetary policy. The regulations that were put in place in 2010 have increased the amount of reserves required to S/1,779 million and US$198 million in local and foreign currency respectively. This new environment has led to an increase in the funding cost of the bank. Changes in the reserve requirement regulation may adversely affect the bank´s business, financial condition and results of operations.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Law 26702 sets the maximum amount of credit that a financial institution may extend to a single borrower. A single borrower includes an individual or an economic group. An economic group constituting a single or common risk includes a person, such person’s close relatives and the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 on credit that may be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2010, the 10.0% credit limit per borrower of BCP, unconsolidated, was US$197.4 million for unsecured loans, and the 30.0% limit was US$592.2 million for secured loans.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Article 52 of the organic law of the Central Bank, in certain circumstances, the Central Bank has the authority to establish limits on interest rates charged by commercial banks and other financial institutions. No such limits are currently in place; however, there can be no assurance that the Central Bank will not establish such limits on interest rates in the future.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Law 26702 regulates transactions with related parties and affiliates of financial institutions. SBS and CONASEV have also enacted regulations that define indirect ownership, related parties and economic groups, which serve to limit transactions with related parties and affiliates. These regulations also provide standards for the supervision of financial and mixed conglomerates formed by financial institutions.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regulatory capital. All loans made to any single related party borrower may not exceed 0.35% of such regulatory capital (i.e., 5% of the overall 7% limit).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as amended by Law 27102, the aggregate amount of loans to related party borrowers considered to be part of an economic group (as defined above) may not exceed 30% (previously 75%) of a bank’s regulatory capital. For purposes of this test, related party borrowers include (i) any person holding, directly or indirectly, 4% or more of a bank’s shares, (ii) directors, (iii) certain principal executive officers of a bank or (iv) persons affiliated with the administrators of the bank.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Law 26702 establishes certain restrictions on the ownership of a bank’s shares. Banks must have at least two unrelated shareholders at all times. Restrictions are placed on the ownership of shares by persons that have committed certain crimes, as well as by public officials who have supervisory powers over banks or who are majority shareholders of an enterprise of a similar nature. All transfers of shares in a bank must be reported by the bank to the SBS after the transfer. Transfers involving the acquisition by any individual or corporation, whether directly or indirectly, of more than 10% of a bank’s capital stock require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is final, and cannot be overturned by the courts. If a transfer is made without obtaining the prior approval of the SBS, the purchaser may be fined an amount equivalent to the value of the securities transferred. In addition, the purchaser is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under Peruvian law, individuals or corporations that acquire more than 3% of a bank’s shares or 1% in a period of 12 months are required to provide information to the SBS upon request.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 26702 and SBS Resolution No. 672 require that all financial companies be rated by at least two risk rating companies on a semi-annual basis (in March and September), in addition to the SBS’s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category. As of September 2009, BCP was assigned the “A+” risk category by its two rating agencies, Equilibrium Clasificadora de Riesgo and Apoyo and Associates International.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Deposit Fund</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Law 26702 provides for mandatory deposit insurance to protect the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 begins at 0.65% of total funds on deposit under the coverage of the Fund and increases to 1.45% applicable to banks in the highest risk category. BCP is currently classified in the lowest risk category. The maximum amount (defined on a monthly basis) that a customer is entitled to recover from the Fund is S/.84,710 until as of December 31, 2010.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Law 26702, as amended by Law 27102, the SBS has the authority to seize the operations and assets of a bank. These laws provide for three levels of action by the SBS: a supervisory regime, an intervention regime and the liquidation of the bank. Any of these actions may be taken if certain events occur, including if the bank: (i) interrupts payments on its liabilities, (ii) repeatedly fails to comply with the regulations of the SBS or the Central Bank,</w:t>
      </w:r>
    </w:p>
    <w:p>
      <w:pPr>
        <w:ind w:firstLine="8"/>
        <w:spacing w:after="0" w:line="261" w:lineRule="auto"/>
        <w:tabs>
          <w:tab w:leader="none" w:pos="3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repeatedly violates the law or the provisions of the bank’s bye-laws, (iv) repeatedly manages its operations in an unauthorized or unsound manner or (v) has its regulatory capital fall or be reduced by more than 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intervention regime, rather than seizing the operations and assets of a bank, the SBS may adopt other measures, including (i) placing additional requirements on the bank, (ii) ordering it to increase its capital stock or divest certain or all of its assets, or (iii) imposing a special supervision regime during which BCP must adhere to a financial restructuring plan.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stops a bank’s operations and may last for a maximum of 45 days, which may be extended for an additional 45 days. During this time, the SBS may institute measures such as: (i) canceling losses by reducing reserves, capital and subordinated debt, (ii) segregating certain assets and liabilities for transfer to another financial institution and (iii) merging the intervened bank with an acquiring institution according to the program established by Urgent Decree No. 108-2000, enacted in November 2000. After the intervention, the SBS will liquidate the bank unless it is merged with an acquiring institution, as described in (iii) above.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United States Federal Reserve Bank and from the State of Florida Department of Banking and Finance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Banco de Credito del Peru, Miami Agency (“BCP Miami Agency”) is licensed to operate as an International Agency in the State of Florida and was authorized to transact business by the Comptroller of Florida on September 3, 2002. The Office of Financial Regulation of the State of Florida shares regulatory responsibility with the Federal Reserve Bank of Atlanta.</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Superintendency of Banks in Panama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Panama is a branch of BCP that is registered in the Republic of Panama. It began operating in June 2002 under an International License issued by the Panamanian Superintendence of Banks, in accordance with Law Decree No. 9 of February 26, 1998, as amended. BCP Panama is subject to an inspection every two (2) years made by auditors and inspectors of the Panamanian Superintendence of Banks, to determine, among other things, its compliance with the Decree Law No. 2 and No. 42 Law on the Prevention of Money Laundering.</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ASB</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while its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is registered as an exempt company and is licensed in the Cayman Islands pursuant to the Banks and Trust Companies Law. ASB holds an unrestricted Category B Banking and Trust License, as well as a Mutual Fund Administrator License. As a holder of a Category B License, ASB may not take deposits from any person residing in the Cayman Islands other than another licensee, an exempt company or an ordinary non-resident company which is not carrying on business in the Cayman Islands.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may not invest in any asset which represents a claim on any person residing in the Cayman Islands, except a claim resulting from: (i) a loan to an exempt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permitted by the Category B License.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no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(approximately 12%). There is a statutory minimum net worth requirement of US$480,000, but the Authority generally requires a bank or trust company to maintain a higher paid-in capital appropriate to its business. The Authority requires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remain in good standing under the Cayman Islands Companies Law, including the filing of annual and other returns and the payment of annual fees; (ii) to file with the Registrar of Companies any change in the information or documents required to be provided and to pay annual fees; (iii) to file certain prescribed forms with the Authority on a quarterly basis; (iv) to file with the Authority audited accounts within three months of each financial year (in the case of a locally incorporated bank which is not part of a substantial international banking group, a senior officer or board member discusses these accounts each year at a meeting with the Authority) and (v) to file an annual questionnaire.</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annually in the case of a branch of a substantial international bank; (ii) for the issue, transfer or other disposal of shares (it is rare for a waiver to be granted with respect to shares except in the case of a branch of a substantial international bank and where the shares are widely held and publicly traded); (iii) for any significant change in the business plan filed on the original license application or (iv) to open a subsidiary, branch, agency or representative office outside the Cayman Islands. Finally, ASB must obtain the prior approval of the Authority to change its name and must notify the Authority of any change in the principal office and authorized agent in the Cayman Islands.</w:t>
      </w:r>
    </w:p>
    <w:p>
      <w:pPr>
        <w:spacing w:after="0" w:line="212"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Until March 2010, the Bolivian banking system operated under the Ley de Bancos y Entidades Financieras (the Law of Banks and Financial Entities) No. 1488, enacted on April 14, 1993, which was modified by Law 3076 of June 20, 2005, which granted supervisory powers to the Superintendency of Banks and Financial Entities (now referred to as the Financial System Supervisory Authority (Autoridad de Supervisión del Sistema Financiero), pursuant to Supreme Decree 29894). In addition, the law established that Banco Central de Bolivia (the Central Bank of Bolivia) would regulate financial intermediation and deposit activities, determine monetary and foreign exchange policy, and establish reserve requirements on deposits and capital adequacy, which banks and financial companies were required to follow. Also, the Autoridad de Supervisión del Sistema Financiero (the Financial System Supervisory Authority) supervised brokerage activities and mutual fund management that was conducted through BCB’s subsidiaries Credibolsa S.A. and Credifondo S.A. These subsidiaries operated under the Ley del Mercado de Valores (the Securities Markets Law) No. 1834, enacted on March 31, 1998.</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ind w:firstLine="648"/>
        <w:spacing w:after="0" w:line="277" w:lineRule="auto"/>
        <w:rPr>
          <w:sz w:val="20"/>
          <w:szCs w:val="20"/>
          <w:color w:val="auto"/>
        </w:rPr>
      </w:pPr>
      <w:r>
        <w:rPr>
          <w:rFonts w:ascii="Arial" w:cs="Arial" w:eastAsia="Arial" w:hAnsi="Arial"/>
          <w:sz w:val="18"/>
          <w:szCs w:val="18"/>
          <w:color w:val="auto"/>
        </w:rPr>
        <w:t>The new constitution of Bolivia, which was approved by referendum in February 2009, established that the Bolivian financial system is to be regulated as follows:</w:t>
      </w:r>
    </w:p>
    <w:p>
      <w:pPr>
        <w:spacing w:after="0" w:line="197" w:lineRule="exact"/>
        <w:rPr>
          <w:sz w:val="20"/>
          <w:szCs w:val="20"/>
          <w:color w:val="auto"/>
        </w:rPr>
      </w:pPr>
    </w:p>
    <w:p>
      <w:pPr>
        <w:jc w:val="both"/>
        <w:ind w:left="660" w:hanging="328"/>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Central Bank of Bolivia is responsible for maintaining the stability of the internal monetary value and has authority to regulate monetary policy, control foreign exchange policies, regulate the payment system, authorize the issuance of money and administrate international reserves in coordination with the Economic Policy stated by the Public Sector.</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financial entities (banks, mutual funds, securities, insurance and others) are regulated by the Financial System Supervisory Authority (or FSSA). The FSSA (or ASFI in Spanish) has assumed all regulatory functions held previously be the Superintendency of Banks and Financial Entities and the Superintendency of Pensions, Securities and Insurance.</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changes to existing laws by the new Bolivian constitution have not materially impacted BCB’s business.</w:t>
      </w:r>
    </w:p>
    <w:p>
      <w:pPr>
        <w:spacing w:after="0" w:line="248" w:lineRule="exact"/>
        <w:rPr>
          <w:rFonts w:ascii="Arial" w:cs="Arial" w:eastAsia="Arial" w:hAnsi="Arial"/>
          <w:sz w:val="18"/>
          <w:szCs w:val="18"/>
          <w:color w:val="auto"/>
        </w:rPr>
      </w:pPr>
    </w:p>
    <w:p>
      <w:pPr>
        <w:ind w:left="1300" w:hanging="644"/>
        <w:spacing w:after="0"/>
        <w:tabs>
          <w:tab w:leader="none" w:pos="130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PPS’s operations are regulated by Law 26702 and the SBS. Peruvian insurance companies must submit regular reports to the SBS regarding their operations. In addition, the SBS conducts on-sight reviews on an annual basis. The SBS conducts these reviews primarily to review a company’s compliance with solvency margin and reserve requirements, investment requirements and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insurance companies are also prohibited from having an ownership interest in other insurance or reinsurance companies of the same class or in private pension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Insurance companies must be authorized by the SBS to commence operations. Peruvian law establishes certain minimum capital requirements for insurance and reinsurance companies, which must be satisfied by cash investments in the company. The statutory amounts are expressed in constant value.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Law 26702, the SBS regulates the solvency margin of Peruvian insurance companies. The solvency margin calculations take into account the amount of premiums written and losses incurred during a specified period prior to the date of the calculation.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(i) the solvency margin and (ii) the minimum capital requirement, as established by law. The required amount of solvency equity is recalculated at least quarterly. If an insurance company has outstanding credit risk operations, part of the solvency equity must be set aside for its coverage.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Law 26702 and regulations issued by the SBS, Peruvian insurance companies must establish technical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 Law 26702 also requires insurance companies to create a reserve for IBNR claims, which are reflected as a liability, net of recoveries and reinsurance, in the Credicorp Consolidated Financial Statements. Reserves for IBNR claims are estimated by using generally accepted actuarial reserving methods.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3(e) to the Credicorp Consolidated Financial Statements. Finally, PPS is required by the SBS to establish pre-event reserves for risk of catastrophes, which, in accordance with IFRS principles, are not considered in our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the total amount of an insurance company’s solvency equity and technical reserves must be permanently supported by diversified assets, which may not be pledged or otherwise encumbered. The investment regulations further state that deposits in and bonds of one financial institution together cannot exceed 10% of the total of an insurer’s solvency equity and technical reserves combined. In general, no more than 20% of an insurance company’s combined solvency equity and technical reserves may be invested in instruments (including stocks and bonds) issued by a company or group of companies. In order for an insurance company to invest in non-Peruvian securities, the securities must be rated by an internationally recognized credit rating company and the asset class must be authorized by Peruvian SBS regulations. Securities owned by insurance companies must be registered in the Public Registry of Securities of Peru or the comparable registry of their respective country.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certain home mortgage loans to employees.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Law 26702 sets forth the same types of restrictions regarding the ownership and transfer of insurance company shares as it does regarding the ownership and transfer of shares in banks.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BCP—Overview.”</w:t>
      </w:r>
    </w:p>
    <w:p>
      <w:pPr>
        <w:spacing w:after="0" w:line="193" w:lineRule="exact"/>
        <w:rPr>
          <w:sz w:val="20"/>
          <w:szCs w:val="20"/>
          <w:color w:val="auto"/>
        </w:rPr>
      </w:pPr>
    </w:p>
    <w:p>
      <w:pPr>
        <w:ind w:left="1420" w:hanging="764"/>
        <w:spacing w:after="0"/>
        <w:tabs>
          <w:tab w:leader="none" w:pos="14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Prima AFP</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 AFP’s operations are regulated in Peru by the Consolidated Sole Text of the Private System for the Administration of Funds Act, approved by Supreme Decree No. 054-97-EF. Operations are controlled and supervised by the SBS. In addition, AFPs are under the supervision of the CONASEV. AFPs must submit reports to the SBS, members and beneficiaries in general, with regard to the administration of retirement funds and any information linked to the AFP’s operations.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Peruvian legislation, AFPs can only have one type of business activity, that is, they can only offer services linked to the administration of pension funds under the category of Individual Capital Accounts. Also, AFPs must pay benefits provided by Law and administer retirement, disability, death benefit and funeral expense risks. AFPs must submit audited financial information, in accordance with SBS regulations. There are certain limitations on the ownership and transfer of AFP shares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SBS authorization is required for an AFP to begin operations. Peruvian law establishes a minimum capital requirement, paid in cash by the shareholders.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SBS establishes general investment limits:</w:t>
      </w:r>
    </w:p>
    <w:p>
      <w:pPr>
        <w:spacing w:after="0" w:line="252" w:lineRule="exact"/>
        <w:rPr>
          <w:sz w:val="20"/>
          <w:szCs w:val="20"/>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amount invested in instruments issued or guaranteed by the Peruvian State cannot exceed 30% of the fund value.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amount invested on instruments issued or guaranteed by BCRP cannot exceed 30% of the fund value.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amount jointly invested under the two aforementioned points cannot exceed 40% of the fund value.</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amount invested in instruments issued by the Government, financial institutions, and non-financial institutions whose commercial activities are mostly abroad, cannot exceed 30% of the fund value.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Central Bank can set maximum operating percentages and/or sub-limits to the aforementioned investment limits.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SBS requires a guaranteed minimum profitability for the administered funds. Part of the guarantee is the </w:t>
      </w:r>
      <w:r>
        <w:rPr>
          <w:rFonts w:ascii="Arial" w:cs="Arial" w:eastAsia="Arial" w:hAnsi="Arial"/>
          <w:sz w:val="17"/>
          <w:szCs w:val="17"/>
          <w:i w:val="1"/>
          <w:iCs w:val="1"/>
          <w:color w:val="auto"/>
        </w:rPr>
        <w:t>Encaje Legal</w:t>
      </w:r>
      <w:r>
        <w:rPr>
          <w:rFonts w:ascii="Arial" w:cs="Arial" w:eastAsia="Arial" w:hAnsi="Arial"/>
          <w:sz w:val="17"/>
          <w:szCs w:val="17"/>
          <w:color w:val="auto"/>
        </w:rPr>
        <w:t>, an obligatory reserve, which must be created with AFP funds. The amount will depend on the type of instruments that make up the fund. In addition, Peruvian law establishes that companies must set up a legal reserve equivalent to 10% of net profits, until the reserve is at least 20% of the capital.</w:t>
      </w:r>
    </w:p>
    <w:p>
      <w:pPr>
        <w:spacing w:after="0" w:line="189"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following tables, we have set forth certain selected statistical information and ratios regarding our business for the periods indicated. You should read the selected statistical information in conjunction with the information included in “Item 5. Operating and Financial Review and Prospects—(A) Operating Results” and the Credicorp Consolidated Financial Statements (and the notes that accompany the financial statements). The statistical information and discussion and analysis given below for the years 2006, 2007, 2008, 2009 and 2010 reflect our consolidated financial position as well as that of our subsidiaries, as of December 31, 2006, 2007, 2008, 2009 and 2010 and our results of operations for 2006, 2007, 2008, 2009 and 2010.</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Average Balance Sheets and Income from Interest-Earning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tables below set forth selected statistical information based on our average balance sheets prepared on a consolidated basis. Except as otherwise indicated, we have classified average balances by currency (Nuevos Soles or foreign currency (primarily U.S. Dollars)) rather than by the domestic or international nature of the balance. In addition, except where noted, the average balances are based on the quarterly ending balances in each year. Any of these quarter-end balances that were denominated in Nuevos Soles have been converted into U.S. Dollars using the applicable SBS exchange rate as of the date of such balance. Our management does not believe that the stated averages present trends materially differ from those that would be presented by daily averages.</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5" w:name="page56"/>
    <w:bookmarkEnd w:id="55"/>
    <w:p>
      <w:pPr>
        <w:ind w:left="512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7"/>
          </w:tcPr>
          <w:p>
            <w:pPr>
              <w:jc w:val="center"/>
              <w:ind w:left="237"/>
              <w:spacing w:after="0"/>
              <w:rPr>
                <w:sz w:val="20"/>
                <w:szCs w:val="20"/>
                <w:color w:val="auto"/>
              </w:rPr>
            </w:pPr>
            <w:r>
              <w:rPr>
                <w:rFonts w:ascii="Arial" w:cs="Arial" w:eastAsia="Arial" w:hAnsi="Arial"/>
                <w:sz w:val="13"/>
                <w:szCs w:val="13"/>
                <w:b w:val="1"/>
                <w:bCs w:val="1"/>
                <w:color w:val="auto"/>
                <w:w w:val="87"/>
              </w:rPr>
              <w:t>Year ended December 31,</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3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2008</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ind w:right="117"/>
              <w:spacing w:after="0" w:line="135" w:lineRule="exact"/>
              <w:rPr>
                <w:sz w:val="20"/>
                <w:szCs w:val="20"/>
                <w:color w:val="auto"/>
              </w:rPr>
            </w:pPr>
            <w:r>
              <w:rPr>
                <w:rFonts w:ascii="Arial" w:cs="Arial" w:eastAsia="Arial" w:hAnsi="Arial"/>
                <w:sz w:val="13"/>
                <w:szCs w:val="13"/>
                <w:b w:val="1"/>
                <w:bCs w:val="1"/>
                <w:color w:val="auto"/>
                <w:w w:val="82"/>
              </w:rPr>
              <w:t>2009</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7"/>
              <w:spacing w:after="0" w:line="135" w:lineRule="exact"/>
              <w:rPr>
                <w:sz w:val="20"/>
                <w:szCs w:val="20"/>
                <w:color w:val="auto"/>
              </w:rPr>
            </w:pPr>
            <w:r>
              <w:rPr>
                <w:rFonts w:ascii="Arial" w:cs="Arial" w:eastAsia="Arial" w:hAnsi="Arial"/>
                <w:sz w:val="13"/>
                <w:szCs w:val="13"/>
                <w:b w:val="1"/>
                <w:bCs w:val="1"/>
                <w:color w:val="auto"/>
              </w:rPr>
              <w:t>2010</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3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89"/>
              </w:rPr>
              <w:t>Nominal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3"/>
              </w:rPr>
              <w:t>Nominal</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38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Interest</w:t>
            </w: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Avg.</w:t>
            </w:r>
          </w:p>
        </w:tc>
        <w:tc>
          <w:tcPr>
            <w:tcW w:w="90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1"/>
                <w:szCs w:val="11"/>
                <w:color w:val="auto"/>
              </w:rPr>
            </w:pPr>
          </w:p>
        </w:tc>
        <w:tc>
          <w:tcPr>
            <w:tcW w:w="960" w:type="dxa"/>
            <w:vAlign w:val="bottom"/>
            <w:gridSpan w:val="4"/>
          </w:tcPr>
          <w:p>
            <w:pPr>
              <w:ind w:left="160"/>
              <w:spacing w:after="0" w:line="135" w:lineRule="exact"/>
              <w:rPr>
                <w:sz w:val="20"/>
                <w:szCs w:val="20"/>
                <w:color w:val="auto"/>
              </w:rPr>
            </w:pPr>
            <w:r>
              <w:rPr>
                <w:rFonts w:ascii="Arial" w:cs="Arial" w:eastAsia="Arial" w:hAnsi="Arial"/>
                <w:sz w:val="13"/>
                <w:szCs w:val="13"/>
                <w:b w:val="1"/>
                <w:bCs w:val="1"/>
                <w:color w:val="auto"/>
              </w:rPr>
              <w:t>Interest</w:t>
            </w:r>
          </w:p>
        </w:tc>
        <w:tc>
          <w:tcPr>
            <w:tcW w:w="7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Avg.</w:t>
            </w: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Average</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Interest</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3"/>
              </w:rPr>
              <w:t>Nominal</w:t>
            </w:r>
          </w:p>
        </w:tc>
      </w:tr>
      <w:tr>
        <w:trPr>
          <w:trHeight w:val="160"/>
        </w:trPr>
        <w:tc>
          <w:tcPr>
            <w:tcW w:w="338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Earned</w:t>
            </w:r>
          </w:p>
        </w:tc>
        <w:tc>
          <w:tcPr>
            <w:tcW w:w="18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8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Earned</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2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Balance</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Earned</w:t>
            </w:r>
          </w:p>
        </w:tc>
        <w:tc>
          <w:tcPr>
            <w:tcW w:w="2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Avg. Rate</w:t>
            </w:r>
          </w:p>
        </w:tc>
        <w:tc>
          <w:tcPr>
            <w:tcW w:w="10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20" w:type="dxa"/>
            <w:vAlign w:val="bottom"/>
            <w:gridSpan w:val="10"/>
          </w:tcPr>
          <w:p>
            <w:pPr>
              <w:jc w:val="center"/>
              <w:ind w:right="260"/>
              <w:spacing w:after="0" w:line="135" w:lineRule="exact"/>
              <w:rPr>
                <w:sz w:val="20"/>
                <w:szCs w:val="20"/>
                <w:color w:val="auto"/>
              </w:rPr>
            </w:pPr>
            <w:r>
              <w:rPr>
                <w:rFonts w:ascii="Arial" w:cs="Arial" w:eastAsia="Arial" w:hAnsi="Arial"/>
                <w:sz w:val="13"/>
                <w:szCs w:val="13"/>
                <w:i w:val="1"/>
                <w:iCs w:val="1"/>
                <w:color w:val="auto"/>
                <w:w w:val="87"/>
              </w:rPr>
              <w:t>(U.S. Dollars in thousands, except percentages)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Interest-earning assets:</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Deposits in Central Bank</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center"/>
              <w:ind w:right="120"/>
              <w:spacing w:after="0" w:line="135" w:lineRule="exact"/>
              <w:rPr>
                <w:sz w:val="20"/>
                <w:szCs w:val="20"/>
                <w:color w:val="auto"/>
              </w:rPr>
            </w:pPr>
            <w:r>
              <w:rPr>
                <w:rFonts w:ascii="Arial" w:cs="Arial" w:eastAsia="Arial" w:hAnsi="Arial"/>
                <w:sz w:val="13"/>
                <w:szCs w:val="13"/>
                <w:color w:val="auto"/>
                <w:w w:val="96"/>
              </w:rPr>
              <w:t>US$   221,485</w:t>
            </w:r>
          </w:p>
        </w:tc>
        <w:tc>
          <w:tcPr>
            <w:tcW w:w="1000" w:type="dxa"/>
            <w:vAlign w:val="bottom"/>
            <w:gridSpan w:val="3"/>
            <w:shd w:val="clear" w:color="auto" w:fill="CCFFCC"/>
          </w:tcPr>
          <w:p>
            <w:pPr>
              <w:jc w:val="center"/>
              <w:ind w:right="100"/>
              <w:spacing w:after="0" w:line="135" w:lineRule="exact"/>
              <w:rPr>
                <w:sz w:val="20"/>
                <w:szCs w:val="20"/>
                <w:color w:val="auto"/>
              </w:rPr>
            </w:pPr>
            <w:r>
              <w:rPr>
                <w:rFonts w:ascii="Arial" w:cs="Arial" w:eastAsia="Arial" w:hAnsi="Arial"/>
                <w:sz w:val="13"/>
                <w:szCs w:val="13"/>
                <w:color w:val="auto"/>
                <w:w w:val="97"/>
              </w:rPr>
              <w:t>US$   10,055</w:t>
            </w:r>
          </w:p>
        </w:tc>
        <w:tc>
          <w:tcPr>
            <w:tcW w:w="8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4.54%</w:t>
            </w:r>
          </w:p>
        </w:tc>
        <w:tc>
          <w:tcPr>
            <w:tcW w:w="2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78"/>
              </w:rPr>
              <w:t>US$</w:t>
            </w: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64,870</w:t>
            </w:r>
          </w:p>
        </w:tc>
        <w:tc>
          <w:tcPr>
            <w:tcW w:w="300" w:type="dxa"/>
            <w:vAlign w:val="bottom"/>
            <w:gridSpan w:val="2"/>
            <w:shd w:val="clear" w:color="auto" w:fill="CCFFCC"/>
          </w:tcPr>
          <w:p>
            <w:pPr>
              <w:ind w:left="80"/>
              <w:spacing w:after="0" w:line="135" w:lineRule="exact"/>
              <w:rPr>
                <w:sz w:val="20"/>
                <w:szCs w:val="20"/>
                <w:color w:val="auto"/>
              </w:rPr>
            </w:pPr>
            <w:r>
              <w:rPr>
                <w:rFonts w:ascii="Arial" w:cs="Arial" w:eastAsia="Arial" w:hAnsi="Arial"/>
                <w:sz w:val="13"/>
                <w:szCs w:val="13"/>
                <w:color w:val="auto"/>
                <w:w w:val="78"/>
              </w:rPr>
              <w:t>US$</w:t>
            </w: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1,425</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2.20%</w:t>
            </w:r>
          </w:p>
        </w:tc>
        <w:tc>
          <w:tcPr>
            <w:tcW w:w="980" w:type="dxa"/>
            <w:vAlign w:val="bottom"/>
            <w:gridSpan w:val="2"/>
            <w:shd w:val="clear" w:color="auto" w:fill="CCFFCC"/>
          </w:tcPr>
          <w:p>
            <w:pPr>
              <w:jc w:val="center"/>
              <w:ind w:right="180"/>
              <w:spacing w:after="0" w:line="135" w:lineRule="exact"/>
              <w:rPr>
                <w:sz w:val="20"/>
                <w:szCs w:val="20"/>
                <w:color w:val="auto"/>
              </w:rPr>
            </w:pPr>
            <w:r>
              <w:rPr>
                <w:rFonts w:ascii="Arial" w:cs="Arial" w:eastAsia="Arial" w:hAnsi="Arial"/>
                <w:sz w:val="13"/>
                <w:szCs w:val="13"/>
                <w:color w:val="auto"/>
                <w:w w:val="92"/>
              </w:rPr>
              <w:t>US$ 1,056,389</w:t>
            </w:r>
          </w:p>
        </w:tc>
        <w:tc>
          <w:tcPr>
            <w:tcW w:w="940" w:type="dxa"/>
            <w:vAlign w:val="bottom"/>
            <w:gridSpan w:val="2"/>
            <w:shd w:val="clear" w:color="auto" w:fill="CCFFCC"/>
          </w:tcPr>
          <w:p>
            <w:pPr>
              <w:jc w:val="center"/>
              <w:ind w:right="200"/>
              <w:spacing w:after="0" w:line="135" w:lineRule="exact"/>
              <w:rPr>
                <w:sz w:val="20"/>
                <w:szCs w:val="20"/>
                <w:color w:val="auto"/>
              </w:rPr>
            </w:pPr>
            <w:r>
              <w:rPr>
                <w:rFonts w:ascii="Arial" w:cs="Arial" w:eastAsia="Arial" w:hAnsi="Arial"/>
                <w:sz w:val="13"/>
                <w:szCs w:val="13"/>
                <w:color w:val="auto"/>
                <w:w w:val="97"/>
              </w:rPr>
              <w:t>US$   25,351</w:t>
            </w:r>
          </w:p>
        </w:tc>
        <w:tc>
          <w:tcPr>
            <w:tcW w:w="6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2.40%</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1,737,797</w:t>
            </w: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27,859</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1.60</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2,099,395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3,446</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0.16</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2,147,576</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3,319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0.15</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1,959,282</w:t>
            </w: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37,914</w:t>
            </w: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1.94</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2,164,265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4,871</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0.23</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3,203,965</w:t>
            </w:r>
          </w:p>
        </w:tc>
        <w:tc>
          <w:tcPr>
            <w:tcW w:w="18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28,670</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0.89</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Deposits in other banks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68,990</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2,821</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4.09</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111,006</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5,733</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5.16</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54,525</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1,135</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2.08</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778,822</w:t>
            </w: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34,531</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4.43</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920,030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5,314</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0.58</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855,555</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2,532</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0.30</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847,812</w:t>
            </w: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37,352</w:t>
            </w: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4.41</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1,031,036</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11,047</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1.07</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910,080</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3,667</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0.40</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2,453,796</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187,156</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7.63</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1,536,677</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38,313</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2.49</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2,212,177</w:t>
            </w:r>
          </w:p>
        </w:tc>
        <w:tc>
          <w:tcPr>
            <w:tcW w:w="18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64,732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2.93</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3,355,232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110,865</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3.30</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3,288,724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148,316</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4.51</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3,277,308</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132,063</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4.03</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5,809,028</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298,021</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5.13</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4,825,401</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186,629</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3.87</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5,489,485</w:t>
            </w:r>
          </w:p>
        </w:tc>
        <w:tc>
          <w:tcPr>
            <w:tcW w:w="18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196,795</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3.58</w:t>
            </w: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Total loans (1)</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2,987,721</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400,394</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13.40</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3,893,475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537,357</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13.80</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4,957,672</w:t>
            </w:r>
          </w:p>
        </w:tc>
        <w:tc>
          <w:tcPr>
            <w:tcW w:w="18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698,995</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14.10</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6,533,987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563,546</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8.62</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6,810,072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524,689</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7.70</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7,965,572</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519,733</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6.52</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9,521,708</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963,940</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10.12</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2"/>
              </w:rPr>
              <w:t>10,703,547</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6"/>
              </w:rPr>
              <w:t>1,062,046</w:t>
            </w: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9.92</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12,923,244</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1,218,728</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9.43</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 dividend-earning assets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174,356</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6,672</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3.83</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160,185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2,057</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1.28</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228,216</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6,809</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2.98</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107,567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5,517</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5.13</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114,074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7,658</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6.71</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208,061</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4,805</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2.31</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281,923</w:t>
            </w: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12,189</w:t>
            </w: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4.32</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274,259</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9,715</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3.54</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436,277</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11,614</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2.66</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 interest-earning assets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5,906,348</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607,098</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10.28</w:t>
            </w: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5,766,213</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584,885</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10.14</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8,508,979</w:t>
            </w:r>
          </w:p>
        </w:tc>
        <w:tc>
          <w:tcPr>
            <w:tcW w:w="18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797,022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9.37</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12,513,405</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742,318</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5.93</w:t>
            </w:r>
          </w:p>
        </w:tc>
        <w:tc>
          <w:tcPr>
            <w:tcW w:w="22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2"/>
              </w:rPr>
              <w:t>13,232,295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689,423</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5.21</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14,454,072</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662,452</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4.58</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18,419,753</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1,349,416</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7.33</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2"/>
              </w:rPr>
              <w:t>18,998,508</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6"/>
              </w:rPr>
              <w:t>1,274,308</w:t>
            </w: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6.71</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22,963,051</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1,459,474</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6.36</w:t>
            </w: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i w:val="1"/>
                <w:iCs w:val="1"/>
                <w:color w:val="auto"/>
              </w:rPr>
              <w:t>Noninterest-earning assets: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308,321</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327,127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362,846</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259,761</w:t>
            </w: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275,276</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317,649</w:t>
            </w: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568,082</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602,403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680,495</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Reserves for loan losses</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(68,072)</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(133,303)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(211,053)</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(156,850)</w:t>
            </w: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(156,364)</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(184,307)</w:t>
            </w: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(224,922)</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(289,667)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(395,360)</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269,221</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303,170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338,446</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26,805</w:t>
            </w: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19,242</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15,518</w:t>
            </w: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296,026</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322,412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353,964</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3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8"/>
              </w:rPr>
              <w:t>Other non-interest-earning assets and gain from derivatives</w:t>
            </w: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380" w:type="dxa"/>
            <w:vAlign w:val="bottom"/>
            <w:shd w:val="clear" w:color="auto" w:fill="CCFFCC"/>
          </w:tcPr>
          <w:p>
            <w:pPr>
              <w:spacing w:after="0"/>
              <w:rPr>
                <w:sz w:val="20"/>
                <w:szCs w:val="20"/>
                <w:color w:val="auto"/>
              </w:rPr>
            </w:pPr>
            <w:r>
              <w:rPr>
                <w:rFonts w:ascii="Arial" w:cs="Arial" w:eastAsia="Arial" w:hAnsi="Arial"/>
                <w:sz w:val="13"/>
                <w:szCs w:val="13"/>
                <w:color w:val="auto"/>
              </w:rPr>
              <w:t>instruments and other interest income</w:t>
            </w: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527,364</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820,740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12,728</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1,068,836</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3,532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747,978</w:t>
            </w: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32,235</w:t>
            </w: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814,175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25,889</w:t>
            </w: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698,261</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8,702</w:t>
            </w: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1,275,342</w:t>
            </w: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33,428</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1,634,915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38,617</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1,767,097</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12,234</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 non-interest-earning assets</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1,036,834</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1,317,734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12,728</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1,559,075</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3,532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877,694</w:t>
            </w:r>
          </w:p>
        </w:tc>
        <w:tc>
          <w:tcPr>
            <w:tcW w:w="100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32,235</w:t>
            </w: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952,329</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25,889</w:t>
            </w: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847,121</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8,702</w:t>
            </w: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1,914,528</w:t>
            </w:r>
          </w:p>
        </w:tc>
        <w:tc>
          <w:tcPr>
            <w:tcW w:w="10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33,428</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2,270,063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38,617</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2,406,196</w:t>
            </w:r>
          </w:p>
        </w:tc>
        <w:tc>
          <w:tcPr>
            <w:tcW w:w="180" w:type="dxa"/>
            <w:vAlign w:val="bottom"/>
          </w:tcPr>
          <w:p>
            <w:pPr>
              <w:spacing w:after="0"/>
              <w:rPr>
                <w:sz w:val="11"/>
                <w:szCs w:val="11"/>
                <w:color w:val="auto"/>
              </w:rPr>
            </w:pP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12,234</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 average assets</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38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6,943,182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608,291</w:t>
            </w: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8.76</w:t>
            </w:r>
          </w:p>
        </w:tc>
        <w:tc>
          <w:tcPr>
            <w:tcW w:w="2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7,083,947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597,613</w:t>
            </w:r>
          </w:p>
        </w:tc>
        <w:tc>
          <w:tcPr>
            <w:tcW w:w="2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8.44</w:t>
            </w: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10,068,054</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800,554</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7.95</w:t>
            </w:r>
          </w:p>
        </w:tc>
      </w:tr>
      <w:tr>
        <w:trPr>
          <w:trHeight w:val="135"/>
        </w:trPr>
        <w:tc>
          <w:tcPr>
            <w:tcW w:w="338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13,391,099</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774,553</w:t>
            </w:r>
          </w:p>
        </w:tc>
        <w:tc>
          <w:tcPr>
            <w:tcW w:w="18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80"/>
              <w:spacing w:after="0" w:line="135" w:lineRule="exact"/>
              <w:rPr>
                <w:sz w:val="20"/>
                <w:szCs w:val="20"/>
                <w:color w:val="auto"/>
              </w:rPr>
            </w:pPr>
            <w:r>
              <w:rPr>
                <w:rFonts w:ascii="Arial" w:cs="Arial" w:eastAsia="Arial" w:hAnsi="Arial"/>
                <w:sz w:val="13"/>
                <w:szCs w:val="13"/>
                <w:color w:val="auto"/>
              </w:rPr>
              <w:t>5.78</w:t>
            </w: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2"/>
              </w:rPr>
              <w:t>14,184,624</w:t>
            </w:r>
          </w:p>
        </w:tc>
        <w:tc>
          <w:tcPr>
            <w:tcW w:w="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715,312</w:t>
            </w:r>
          </w:p>
        </w:tc>
        <w:tc>
          <w:tcPr>
            <w:tcW w:w="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5.04</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15,301,193</w:t>
            </w:r>
          </w:p>
        </w:tc>
        <w:tc>
          <w:tcPr>
            <w:tcW w:w="9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671,154</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4.39</w:t>
            </w:r>
          </w:p>
        </w:tc>
      </w:tr>
      <w:tr>
        <w:trPr>
          <w:trHeight w:val="227"/>
        </w:trPr>
        <w:tc>
          <w:tcPr>
            <w:tcW w:w="3380" w:type="dxa"/>
            <w:vAlign w:val="bottom"/>
          </w:tcPr>
          <w:p>
            <w:pPr>
              <w:ind w:left="180"/>
              <w:spacing w:after="0"/>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20,334,281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1,382,844</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6.80</w:t>
            </w:r>
          </w:p>
        </w:tc>
        <w:tc>
          <w:tcPr>
            <w:tcW w:w="2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21,268,571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1,312,925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6.17</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25,369,247</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1,471,708</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0" w:right="20" w:hanging="492"/>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3"/>
                <w:szCs w:val="13"/>
                <w:b w:val="1"/>
                <w:bCs w:val="1"/>
                <w:color w:val="auto"/>
                <w:w w:val="85"/>
              </w:rPr>
              <w:t>Year ended December 31,</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5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35" w:lineRule="exact"/>
              <w:rPr>
                <w:sz w:val="20"/>
                <w:szCs w:val="20"/>
                <w:color w:val="auto"/>
              </w:rPr>
            </w:pPr>
            <w:r>
              <w:rPr>
                <w:rFonts w:ascii="Arial" w:cs="Arial" w:eastAsia="Arial" w:hAnsi="Arial"/>
                <w:sz w:val="13"/>
                <w:szCs w:val="13"/>
                <w:b w:val="1"/>
                <w:bCs w:val="1"/>
                <w:color w:val="auto"/>
              </w:rPr>
              <w:t>2007</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57"/>
              <w:spacing w:after="0" w:line="135" w:lineRule="exact"/>
              <w:rPr>
                <w:sz w:val="20"/>
                <w:szCs w:val="20"/>
                <w:color w:val="auto"/>
              </w:rPr>
            </w:pPr>
            <w:r>
              <w:rPr>
                <w:rFonts w:ascii="Arial" w:cs="Arial" w:eastAsia="Arial" w:hAnsi="Arial"/>
                <w:sz w:val="13"/>
                <w:szCs w:val="13"/>
                <w:b w:val="1"/>
                <w:bCs w:val="1"/>
                <w:color w:val="auto"/>
              </w:rPr>
              <w:t>2008</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7"/>
              <w:spacing w:after="0" w:line="135" w:lineRule="exact"/>
              <w:rPr>
                <w:sz w:val="20"/>
                <w:szCs w:val="20"/>
                <w:color w:val="auto"/>
              </w:rPr>
            </w:pPr>
            <w:r>
              <w:rPr>
                <w:rFonts w:ascii="Arial" w:cs="Arial" w:eastAsia="Arial" w:hAnsi="Arial"/>
                <w:sz w:val="13"/>
                <w:szCs w:val="13"/>
                <w:b w:val="1"/>
                <w:bCs w:val="1"/>
                <w:color w:val="auto"/>
              </w:rPr>
              <w:t>2009</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354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85"/>
              </w:rPr>
              <w:t>Average</w:t>
            </w:r>
          </w:p>
        </w:tc>
        <w:tc>
          <w:tcPr>
            <w:tcW w:w="86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89"/>
              </w:rPr>
              <w:t>Interest</w:t>
            </w:r>
          </w:p>
        </w:tc>
        <w:tc>
          <w:tcPr>
            <w:tcW w:w="560" w:type="dxa"/>
            <w:vAlign w:val="bottom"/>
          </w:tcPr>
          <w:p>
            <w:pPr>
              <w:ind w:left="40"/>
              <w:spacing w:after="0" w:line="117" w:lineRule="exact"/>
              <w:rPr>
                <w:sz w:val="20"/>
                <w:szCs w:val="20"/>
                <w:color w:val="auto"/>
              </w:rPr>
            </w:pPr>
            <w:r>
              <w:rPr>
                <w:rFonts w:ascii="Arial" w:cs="Arial" w:eastAsia="Arial" w:hAnsi="Arial"/>
                <w:sz w:val="13"/>
                <w:szCs w:val="13"/>
                <w:b w:val="1"/>
                <w:bCs w:val="1"/>
                <w:color w:val="auto"/>
                <w:w w:val="97"/>
              </w:rPr>
              <w:t>Nominal</w:t>
            </w:r>
          </w:p>
        </w:tc>
        <w:tc>
          <w:tcPr>
            <w:tcW w:w="260" w:type="dxa"/>
            <w:vAlign w:val="bottom"/>
          </w:tcPr>
          <w:p>
            <w:pPr>
              <w:spacing w:after="0"/>
              <w:rPr>
                <w:sz w:val="10"/>
                <w:szCs w:val="10"/>
                <w:color w:val="auto"/>
              </w:rPr>
            </w:pPr>
          </w:p>
        </w:tc>
        <w:tc>
          <w:tcPr>
            <w:tcW w:w="900" w:type="dxa"/>
            <w:vAlign w:val="bottom"/>
            <w:gridSpan w:val="2"/>
          </w:tcPr>
          <w:p>
            <w:pPr>
              <w:jc w:val="center"/>
              <w:ind w:right="37"/>
              <w:spacing w:after="0" w:line="117"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89"/>
              </w:rPr>
              <w:t>Interest</w:t>
            </w:r>
          </w:p>
        </w:tc>
        <w:tc>
          <w:tcPr>
            <w:tcW w:w="540" w:type="dxa"/>
            <w:vAlign w:val="bottom"/>
          </w:tcPr>
          <w:p>
            <w:pPr>
              <w:ind w:left="40"/>
              <w:spacing w:after="0" w:line="117" w:lineRule="exact"/>
              <w:rPr>
                <w:sz w:val="20"/>
                <w:szCs w:val="20"/>
                <w:color w:val="auto"/>
              </w:rPr>
            </w:pPr>
            <w:r>
              <w:rPr>
                <w:rFonts w:ascii="Arial" w:cs="Arial" w:eastAsia="Arial" w:hAnsi="Arial"/>
                <w:sz w:val="13"/>
                <w:szCs w:val="13"/>
                <w:b w:val="1"/>
                <w:bCs w:val="1"/>
                <w:color w:val="auto"/>
                <w:w w:val="93"/>
              </w:rPr>
              <w:t>Nominal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85"/>
              </w:rPr>
              <w:t>Average</w:t>
            </w:r>
          </w:p>
        </w:tc>
        <w:tc>
          <w:tcPr>
            <w:tcW w:w="88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89"/>
              </w:rPr>
              <w:t>Interest</w:t>
            </w:r>
          </w:p>
        </w:tc>
        <w:tc>
          <w:tcPr>
            <w:tcW w:w="560" w:type="dxa"/>
            <w:vAlign w:val="bottom"/>
          </w:tcPr>
          <w:p>
            <w:pPr>
              <w:ind w:left="40"/>
              <w:spacing w:after="0" w:line="117" w:lineRule="exact"/>
              <w:rPr>
                <w:sz w:val="20"/>
                <w:szCs w:val="20"/>
                <w:color w:val="auto"/>
              </w:rPr>
            </w:pPr>
            <w:r>
              <w:rPr>
                <w:rFonts w:ascii="Arial" w:cs="Arial" w:eastAsia="Arial" w:hAnsi="Arial"/>
                <w:sz w:val="13"/>
                <w:szCs w:val="13"/>
                <w:b w:val="1"/>
                <w:bCs w:val="1"/>
                <w:color w:val="auto"/>
                <w:w w:val="97"/>
              </w:rPr>
              <w:t>Nominal</w:t>
            </w:r>
          </w:p>
        </w:tc>
        <w:tc>
          <w:tcPr>
            <w:tcW w:w="100" w:type="dxa"/>
            <w:vAlign w:val="bottom"/>
          </w:tcPr>
          <w:p>
            <w:pPr>
              <w:spacing w:after="0"/>
              <w:rPr>
                <w:sz w:val="10"/>
                <w:szCs w:val="10"/>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Paid</w:t>
            </w:r>
          </w:p>
        </w:tc>
        <w:tc>
          <w:tcPr>
            <w:tcW w:w="180" w:type="dxa"/>
            <w:vAlign w:val="bottom"/>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6"/>
              </w:rPr>
              <w:t>Avg. Rate</w:t>
            </w:r>
          </w:p>
        </w:tc>
        <w:tc>
          <w:tcPr>
            <w:tcW w:w="2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Paid</w:t>
            </w: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Avg. Rate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Paid</w:t>
            </w:r>
          </w:p>
        </w:tc>
        <w:tc>
          <w:tcPr>
            <w:tcW w:w="200" w:type="dxa"/>
            <w:vAlign w:val="bottom"/>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6"/>
              </w:rPr>
              <w:t>Avg. Rate</w:t>
            </w:r>
          </w:p>
        </w:tc>
        <w:tc>
          <w:tcPr>
            <w:tcW w:w="100" w:type="dxa"/>
            <w:vAlign w:val="bottom"/>
          </w:tcPr>
          <w:p>
            <w:pPr>
              <w:spacing w:after="0"/>
              <w:rPr>
                <w:sz w:val="13"/>
                <w:szCs w:val="13"/>
                <w:color w:val="auto"/>
              </w:rPr>
            </w:pPr>
          </w:p>
        </w:tc>
      </w:tr>
      <w:tr>
        <w:trPr>
          <w:trHeight w:val="135"/>
        </w:trPr>
        <w:tc>
          <w:tcPr>
            <w:tcW w:w="3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i w:val="1"/>
                <w:iCs w:val="1"/>
                <w:color w:val="auto"/>
                <w:w w:val="89"/>
              </w:rPr>
              <w:t>(U.S. Dollars in</w:t>
            </w:r>
          </w:p>
        </w:tc>
        <w:tc>
          <w:tcPr>
            <w:tcW w:w="1820" w:type="dxa"/>
            <w:vAlign w:val="bottom"/>
            <w:gridSpan w:val="6"/>
          </w:tcPr>
          <w:p>
            <w:pPr>
              <w:ind w:left="60"/>
              <w:spacing w:after="0" w:line="135" w:lineRule="exact"/>
              <w:rPr>
                <w:sz w:val="20"/>
                <w:szCs w:val="20"/>
                <w:color w:val="auto"/>
              </w:rPr>
            </w:pPr>
            <w:r>
              <w:rPr>
                <w:rFonts w:ascii="Arial" w:cs="Arial" w:eastAsia="Arial" w:hAnsi="Arial"/>
                <w:sz w:val="13"/>
                <w:szCs w:val="13"/>
                <w:i w:val="1"/>
                <w:iCs w:val="1"/>
                <w:color w:val="auto"/>
                <w:w w:val="94"/>
              </w:rPr>
              <w:t>thousands, except percentages)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Interest-bearing liabilities:</w:t>
            </w: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Demand deposits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980" w:type="dxa"/>
            <w:vAlign w:val="bottom"/>
            <w:gridSpan w:val="2"/>
            <w:shd w:val="clear" w:color="auto" w:fill="CCFFCC"/>
          </w:tcPr>
          <w:p>
            <w:pPr>
              <w:jc w:val="center"/>
              <w:ind w:right="200"/>
              <w:spacing w:after="0" w:line="135" w:lineRule="exact"/>
              <w:rPr>
                <w:sz w:val="20"/>
                <w:szCs w:val="20"/>
                <w:color w:val="auto"/>
              </w:rPr>
            </w:pPr>
            <w:r>
              <w:rPr>
                <w:rFonts w:ascii="Arial" w:cs="Arial" w:eastAsia="Arial" w:hAnsi="Arial"/>
                <w:sz w:val="13"/>
                <w:szCs w:val="13"/>
                <w:color w:val="auto"/>
                <w:w w:val="89"/>
              </w:rPr>
              <w:t>US$ 1,685,905</w:t>
            </w:r>
          </w:p>
        </w:tc>
        <w:tc>
          <w:tcPr>
            <w:tcW w:w="860" w:type="dxa"/>
            <w:vAlign w:val="bottom"/>
            <w:gridSpan w:val="2"/>
            <w:shd w:val="clear" w:color="auto" w:fill="CCFFCC"/>
          </w:tcPr>
          <w:p>
            <w:pPr>
              <w:jc w:val="center"/>
              <w:ind w:right="180"/>
              <w:spacing w:after="0" w:line="135" w:lineRule="exact"/>
              <w:rPr>
                <w:sz w:val="20"/>
                <w:szCs w:val="20"/>
                <w:color w:val="auto"/>
              </w:rPr>
            </w:pPr>
            <w:r>
              <w:rPr>
                <w:rFonts w:ascii="Arial" w:cs="Arial" w:eastAsia="Arial" w:hAnsi="Arial"/>
                <w:sz w:val="13"/>
                <w:szCs w:val="13"/>
                <w:color w:val="auto"/>
                <w:w w:val="94"/>
              </w:rPr>
              <w:t>US$  22,986</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1.36%</w:t>
            </w:r>
          </w:p>
        </w:tc>
        <w:tc>
          <w:tcPr>
            <w:tcW w:w="900" w:type="dxa"/>
            <w:vAlign w:val="bottom"/>
            <w:gridSpan w:val="2"/>
            <w:shd w:val="clear" w:color="auto" w:fill="CCFFCC"/>
          </w:tcPr>
          <w:p>
            <w:pPr>
              <w:jc w:val="center"/>
              <w:ind w:right="37"/>
              <w:spacing w:after="0" w:line="135" w:lineRule="exact"/>
              <w:rPr>
                <w:sz w:val="20"/>
                <w:szCs w:val="20"/>
                <w:color w:val="auto"/>
              </w:rPr>
            </w:pPr>
            <w:r>
              <w:rPr>
                <w:rFonts w:ascii="Arial" w:cs="Arial" w:eastAsia="Arial" w:hAnsi="Arial"/>
                <w:sz w:val="13"/>
                <w:szCs w:val="13"/>
                <w:color w:val="auto"/>
                <w:w w:val="92"/>
              </w:rPr>
              <w:t>US$ 1,723,108</w:t>
            </w:r>
          </w:p>
        </w:tc>
        <w:tc>
          <w:tcPr>
            <w:tcW w:w="980" w:type="dxa"/>
            <w:vAlign w:val="bottom"/>
            <w:gridSpan w:val="3"/>
            <w:shd w:val="clear" w:color="auto" w:fill="CCFFCC"/>
          </w:tcPr>
          <w:p>
            <w:pPr>
              <w:jc w:val="center"/>
              <w:ind w:right="120"/>
              <w:spacing w:after="0" w:line="135" w:lineRule="exact"/>
              <w:rPr>
                <w:sz w:val="20"/>
                <w:szCs w:val="20"/>
                <w:color w:val="auto"/>
              </w:rPr>
            </w:pPr>
            <w:r>
              <w:rPr>
                <w:rFonts w:ascii="Arial" w:cs="Arial" w:eastAsia="Arial" w:hAnsi="Arial"/>
                <w:sz w:val="13"/>
                <w:szCs w:val="13"/>
                <w:color w:val="auto"/>
                <w:w w:val="91"/>
              </w:rPr>
              <w:t>US$  15,378</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0.89%</w:t>
            </w:r>
          </w:p>
        </w:tc>
        <w:tc>
          <w:tcPr>
            <w:tcW w:w="1060" w:type="dxa"/>
            <w:vAlign w:val="bottom"/>
            <w:gridSpan w:val="3"/>
            <w:shd w:val="clear" w:color="auto" w:fill="CCFFCC"/>
          </w:tcPr>
          <w:p>
            <w:pPr>
              <w:jc w:val="center"/>
              <w:ind w:right="100"/>
              <w:spacing w:after="0" w:line="135" w:lineRule="exact"/>
              <w:rPr>
                <w:sz w:val="20"/>
                <w:szCs w:val="20"/>
                <w:color w:val="auto"/>
              </w:rPr>
            </w:pPr>
            <w:r>
              <w:rPr>
                <w:rFonts w:ascii="Arial" w:cs="Arial" w:eastAsia="Arial" w:hAnsi="Arial"/>
                <w:sz w:val="13"/>
                <w:szCs w:val="13"/>
                <w:color w:val="auto"/>
                <w:w w:val="92"/>
              </w:rPr>
              <w:t>US$ 2,251,493</w:t>
            </w:r>
          </w:p>
        </w:tc>
        <w:tc>
          <w:tcPr>
            <w:tcW w:w="880" w:type="dxa"/>
            <w:vAlign w:val="bottom"/>
            <w:gridSpan w:val="2"/>
            <w:shd w:val="clear" w:color="auto" w:fill="CCFFCC"/>
          </w:tcPr>
          <w:p>
            <w:pPr>
              <w:jc w:val="center"/>
              <w:ind w:right="200"/>
              <w:spacing w:after="0" w:line="135" w:lineRule="exact"/>
              <w:rPr>
                <w:sz w:val="20"/>
                <w:szCs w:val="20"/>
                <w:color w:val="auto"/>
              </w:rPr>
            </w:pPr>
            <w:r>
              <w:rPr>
                <w:rFonts w:ascii="Arial" w:cs="Arial" w:eastAsia="Arial" w:hAnsi="Arial"/>
                <w:sz w:val="13"/>
                <w:szCs w:val="13"/>
                <w:color w:val="auto"/>
                <w:w w:val="98"/>
              </w:rPr>
              <w:t>US$   9,147</w:t>
            </w: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w w:val="81"/>
              </w:rPr>
              <w:t>0.41%</w:t>
            </w: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2,603,193</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15,099</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0.58</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2,685,555</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6,036</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0.22</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3,018,053</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4,510</w:t>
            </w:r>
          </w:p>
        </w:tc>
        <w:tc>
          <w:tcPr>
            <w:tcW w:w="200" w:type="dxa"/>
            <w:vAlign w:val="bottom"/>
          </w:tcPr>
          <w:p>
            <w:pPr>
              <w:spacing w:after="0"/>
              <w:rPr>
                <w:sz w:val="11"/>
                <w:szCs w:val="11"/>
                <w:color w:val="auto"/>
              </w:rPr>
            </w:pP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0.15</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4,289,098</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38,085</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0.89</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4,408,663</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21,414</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0.49</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5,269,546</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13,657</w:t>
            </w: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0.26</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Savings deposits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1,143,032</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13,511</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1.18</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1,283,529</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8,610</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0.67</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1,719,869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4,092</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0.67</w:t>
            </w: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1,560,084</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13,654</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0.88</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1,952,183</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9,899</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0.51</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2,104,084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4,733</w:t>
            </w:r>
          </w:p>
        </w:tc>
        <w:tc>
          <w:tcPr>
            <w:tcW w:w="200" w:type="dxa"/>
            <w:vAlign w:val="bottom"/>
          </w:tcPr>
          <w:p>
            <w:pPr>
              <w:spacing w:after="0"/>
              <w:rPr>
                <w:sz w:val="11"/>
                <w:szCs w:val="11"/>
                <w:color w:val="auto"/>
              </w:rPr>
            </w:pP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0.24</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2,703,116</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27,165</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1.00</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3,235,712</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18,509</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0.57</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3,823,953</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8,826</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0.23</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Time deposits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2,659,712</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156,137</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5.87</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1,988,784</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86,312</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4.34</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2,875,041</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69,261</w:t>
            </w: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2.41</w:t>
            </w: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3,640,246</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154,719</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4.25</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4,191,628</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119,806</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2.86</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3,980,385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84,654</w:t>
            </w: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2.13</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6,299,958</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310,856</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4.93</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6,180,412</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206,118</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3.34</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6,855,426</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153,916</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2.25</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Due to banks and correspondents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190,227</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8,763</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4.61</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201,718</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4,851</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2.40</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201,360</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11,973</w:t>
            </w: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5.95</w:t>
            </w: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1,366,553</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57,729</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4.22</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849,004</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22,477</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2.65</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1,630,662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31,559</w:t>
            </w: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1.94</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1,556,780</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66,492</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4.27</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1,050,722</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27,328</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2.60</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1,832,022</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43,532</w:t>
            </w: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2.38</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Bonds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468,265</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30,864</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6.59</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528,565</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35,133</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6.65</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576,907</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34,451</w:t>
            </w: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5.97</w:t>
            </w: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1,269,327</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59,219</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4.67</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1,572,566</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56,186</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3.57</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1,994,668</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89,860</w:t>
            </w: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4.51</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1,737,592</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90,083</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5.18</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2,101,131</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91,319</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4.35</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2,571,575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124,311</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4.83</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color w:val="auto"/>
              </w:rPr>
              <w:t>Total interest-bearing liabilities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6,147,141</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232,261</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3.78</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5,725,704</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150,284</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2.62</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7,624,670</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128,925</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1.69</w:t>
            </w: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10,439,403</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300,419</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2.88</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11,250,936</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214,404</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1.91</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12,727,852</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215,317</w:t>
            </w:r>
          </w:p>
        </w:tc>
        <w:tc>
          <w:tcPr>
            <w:tcW w:w="200" w:type="dxa"/>
            <w:vAlign w:val="bottom"/>
          </w:tcPr>
          <w:p>
            <w:pPr>
              <w:spacing w:after="0"/>
              <w:rPr>
                <w:sz w:val="11"/>
                <w:szCs w:val="11"/>
                <w:color w:val="auto"/>
              </w:rPr>
            </w:pP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1.69</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16,586,544</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532,680</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3.21</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16,976,640</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364,688</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2.15</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20,352,522</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344,242</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1.69</w:t>
            </w: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3"/>
                <w:szCs w:val="13"/>
                <w:i w:val="1"/>
                <w:iCs w:val="1"/>
                <w:color w:val="auto"/>
              </w:rPr>
              <w:t>Non-interest-bearing liabilities and net equity:</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54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7"/>
              </w:rPr>
              <w:t>Other liabilities and loss from derivatives instruments and other</w:t>
            </w: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540" w:type="dxa"/>
            <w:vAlign w:val="bottom"/>
            <w:shd w:val="clear" w:color="auto" w:fill="CCFFCC"/>
          </w:tcPr>
          <w:p>
            <w:pPr>
              <w:spacing w:after="0"/>
              <w:rPr>
                <w:sz w:val="20"/>
                <w:szCs w:val="20"/>
                <w:color w:val="auto"/>
              </w:rPr>
            </w:pPr>
            <w:r>
              <w:rPr>
                <w:rFonts w:ascii="Arial" w:cs="Arial" w:eastAsia="Arial" w:hAnsi="Arial"/>
                <w:sz w:val="13"/>
                <w:szCs w:val="13"/>
                <w:color w:val="auto"/>
              </w:rPr>
              <w:t>interest expenses</w:t>
            </w: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489,502</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20,850</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676,295</w:t>
            </w:r>
          </w:p>
        </w:tc>
        <w:tc>
          <w:tcPr>
            <w:tcW w:w="9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(11,177)</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761,986</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1,859)</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1,363,623</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8,087</w:t>
            </w: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1,489,528</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67,053</w:t>
            </w: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1,401,822</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68,020</w:t>
            </w: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1,853,125</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28,937</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2,165,823</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55,876</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2,163,808</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69,879</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Equity attributable to Credicorp equity holders</w:t>
            </w: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1,770,400</w:t>
            </w: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1,980,856</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2,688,367</w:t>
            </w: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1,770,400</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1,980,856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2,688,367</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124,212</w:t>
            </w: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145,252</w:t>
            </w: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164,550</w:t>
            </w: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124,212</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145,252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164,550</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non-interest-bearing liabilities and equity</w:t>
            </w: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489,502</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20,850</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676,295</w:t>
            </w:r>
          </w:p>
        </w:tc>
        <w:tc>
          <w:tcPr>
            <w:tcW w:w="9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(11,177)</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761,986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1,859</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3,258,235</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8,087</w:t>
            </w: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3,615,636</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67,053</w:t>
            </w: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4,254,739</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68,020</w:t>
            </w: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3,747,737</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28,937</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4,291,931</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55,876</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5,016,725</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69,879</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average liabilities and equity</w:t>
            </w: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5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6,636,643</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253,111</w:t>
            </w: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3.81</w:t>
            </w:r>
          </w:p>
        </w:tc>
        <w:tc>
          <w:tcPr>
            <w:tcW w:w="9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6,401,999</w:t>
            </w:r>
          </w:p>
        </w:tc>
        <w:tc>
          <w:tcPr>
            <w:tcW w:w="98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139,107</w:t>
            </w:r>
          </w:p>
        </w:tc>
        <w:tc>
          <w:tcPr>
            <w:tcW w:w="74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2.17</w:t>
            </w:r>
          </w:p>
        </w:tc>
        <w:tc>
          <w:tcPr>
            <w:tcW w:w="106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8,386,656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130,784</w:t>
            </w:r>
          </w:p>
        </w:tc>
        <w:tc>
          <w:tcPr>
            <w:tcW w:w="200" w:type="dxa"/>
            <w:vAlign w:val="bottom"/>
          </w:tcPr>
          <w:p>
            <w:pPr>
              <w:spacing w:after="0"/>
              <w:rPr>
                <w:sz w:val="11"/>
                <w:szCs w:val="11"/>
                <w:color w:val="auto"/>
              </w:rPr>
            </w:pPr>
          </w:p>
        </w:tc>
        <w:tc>
          <w:tcPr>
            <w:tcW w:w="66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1.56</w:t>
            </w:r>
          </w:p>
        </w:tc>
      </w:tr>
      <w:tr>
        <w:trPr>
          <w:trHeight w:val="135"/>
        </w:trPr>
        <w:tc>
          <w:tcPr>
            <w:tcW w:w="35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9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13,697,638</w:t>
            </w:r>
          </w:p>
        </w:tc>
        <w:tc>
          <w:tcPr>
            <w:tcW w:w="8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308,506</w:t>
            </w:r>
          </w:p>
        </w:tc>
        <w:tc>
          <w:tcPr>
            <w:tcW w:w="82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2.25</w:t>
            </w:r>
          </w:p>
        </w:tc>
        <w:tc>
          <w:tcPr>
            <w:tcW w:w="90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14,866,572</w:t>
            </w:r>
          </w:p>
        </w:tc>
        <w:tc>
          <w:tcPr>
            <w:tcW w:w="98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281,457</w:t>
            </w:r>
          </w:p>
        </w:tc>
        <w:tc>
          <w:tcPr>
            <w:tcW w:w="74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1.89</w:t>
            </w:r>
          </w:p>
        </w:tc>
        <w:tc>
          <w:tcPr>
            <w:tcW w:w="106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16,982,591</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283,337</w:t>
            </w:r>
          </w:p>
        </w:tc>
        <w:tc>
          <w:tcPr>
            <w:tcW w:w="200" w:type="dxa"/>
            <w:vAlign w:val="bottom"/>
            <w:shd w:val="clear" w:color="auto" w:fill="CCFFCC"/>
          </w:tcPr>
          <w:p>
            <w:pPr>
              <w:spacing w:after="0"/>
              <w:rPr>
                <w:sz w:val="11"/>
                <w:szCs w:val="11"/>
                <w:color w:val="auto"/>
              </w:rPr>
            </w:pPr>
          </w:p>
        </w:tc>
        <w:tc>
          <w:tcPr>
            <w:tcW w:w="66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color w:val="auto"/>
              </w:rPr>
              <w:t>1.67</w:t>
            </w:r>
          </w:p>
        </w:tc>
      </w:tr>
      <w:tr>
        <w:trPr>
          <w:trHeight w:val="227"/>
        </w:trPr>
        <w:tc>
          <w:tcPr>
            <w:tcW w:w="3540" w:type="dxa"/>
            <w:vAlign w:val="bottom"/>
          </w:tcPr>
          <w:p>
            <w:pPr>
              <w:ind w:left="180"/>
              <w:spacing w:after="0"/>
              <w:rPr>
                <w:sz w:val="20"/>
                <w:szCs w:val="20"/>
                <w:color w:val="auto"/>
              </w:rPr>
            </w:pPr>
            <w:r>
              <w:rPr>
                <w:rFonts w:ascii="Arial" w:cs="Arial" w:eastAsia="Arial" w:hAnsi="Arial"/>
                <w:sz w:val="13"/>
                <w:szCs w:val="13"/>
                <w:color w:val="auto"/>
              </w:rPr>
              <w:t>Total</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20,334,281</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561,617</w:t>
            </w: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2.76</w:t>
            </w:r>
          </w:p>
        </w:tc>
        <w:tc>
          <w:tcPr>
            <w:tcW w:w="900" w:type="dxa"/>
            <w:vAlign w:val="bottom"/>
            <w:gridSpan w:val="2"/>
          </w:tcPr>
          <w:p>
            <w:pPr>
              <w:jc w:val="right"/>
              <w:ind w:right="37"/>
              <w:spacing w:after="0"/>
              <w:rPr>
                <w:sz w:val="20"/>
                <w:szCs w:val="20"/>
                <w:color w:val="auto"/>
              </w:rPr>
            </w:pPr>
            <w:r>
              <w:rPr>
                <w:rFonts w:ascii="Arial" w:cs="Arial" w:eastAsia="Arial" w:hAnsi="Arial"/>
                <w:sz w:val="13"/>
                <w:szCs w:val="13"/>
                <w:color w:val="auto"/>
              </w:rPr>
              <w:t>21,268,571</w:t>
            </w:r>
          </w:p>
        </w:tc>
        <w:tc>
          <w:tcPr>
            <w:tcW w:w="980" w:type="dxa"/>
            <w:vAlign w:val="bottom"/>
            <w:gridSpan w:val="3"/>
          </w:tcPr>
          <w:p>
            <w:pPr>
              <w:jc w:val="right"/>
              <w:ind w:right="220"/>
              <w:spacing w:after="0"/>
              <w:rPr>
                <w:sz w:val="20"/>
                <w:szCs w:val="20"/>
                <w:color w:val="auto"/>
              </w:rPr>
            </w:pPr>
            <w:r>
              <w:rPr>
                <w:rFonts w:ascii="Arial" w:cs="Arial" w:eastAsia="Arial" w:hAnsi="Arial"/>
                <w:sz w:val="13"/>
                <w:szCs w:val="13"/>
                <w:color w:val="auto"/>
              </w:rPr>
              <w:t>420,564</w:t>
            </w:r>
          </w:p>
        </w:tc>
        <w:tc>
          <w:tcPr>
            <w:tcW w:w="740" w:type="dxa"/>
            <w:vAlign w:val="bottom"/>
            <w:gridSpan w:val="2"/>
          </w:tcPr>
          <w:p>
            <w:pPr>
              <w:ind w:left="320"/>
              <w:spacing w:after="0"/>
              <w:rPr>
                <w:sz w:val="20"/>
                <w:szCs w:val="20"/>
                <w:color w:val="auto"/>
              </w:rPr>
            </w:pPr>
            <w:r>
              <w:rPr>
                <w:rFonts w:ascii="Arial" w:cs="Arial" w:eastAsia="Arial" w:hAnsi="Arial"/>
                <w:sz w:val="13"/>
                <w:szCs w:val="13"/>
                <w:color w:val="auto"/>
              </w:rPr>
              <w:t>1.98</w:t>
            </w: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25,369,247</w:t>
            </w:r>
          </w:p>
        </w:tc>
        <w:tc>
          <w:tcPr>
            <w:tcW w:w="680" w:type="dxa"/>
            <w:vAlign w:val="bottom"/>
          </w:tcPr>
          <w:p>
            <w:pPr>
              <w:jc w:val="right"/>
              <w:spacing w:after="0"/>
              <w:rPr>
                <w:sz w:val="20"/>
                <w:szCs w:val="20"/>
                <w:color w:val="auto"/>
              </w:rPr>
            </w:pPr>
            <w:r>
              <w:rPr>
                <w:rFonts w:ascii="Arial" w:cs="Arial" w:eastAsia="Arial" w:hAnsi="Arial"/>
                <w:sz w:val="13"/>
                <w:szCs w:val="13"/>
                <w:color w:val="auto"/>
              </w:rPr>
              <w:t>414,121</w:t>
            </w:r>
          </w:p>
        </w:tc>
        <w:tc>
          <w:tcPr>
            <w:tcW w:w="20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the amount paid - for the deposit insurance fund.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i w:val="1"/>
          <w:iCs w:val="1"/>
          <w:color w:val="auto"/>
        </w:rPr>
        <w:t>Changes in Net Interest Income and Expense: Volume and Rate Analysis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2009/2008</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3"/>
              </w:rPr>
              <w:t>2010/2009</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20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due to changes in:</w:t>
            </w:r>
          </w:p>
        </w:tc>
        <w:tc>
          <w:tcPr>
            <w:tcW w:w="240" w:type="dxa"/>
            <w:vAlign w:val="bottom"/>
          </w:tcPr>
          <w:p>
            <w:pPr>
              <w:spacing w:after="0"/>
              <w:rPr>
                <w:sz w:val="13"/>
                <w:szCs w:val="13"/>
                <w:color w:val="auto"/>
              </w:rPr>
            </w:pPr>
          </w:p>
        </w:tc>
        <w:tc>
          <w:tcPr>
            <w:tcW w:w="318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due to changes in:</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240" w:type="dxa"/>
            <w:vAlign w:val="bottom"/>
          </w:tcPr>
          <w:p>
            <w:pPr>
              <w:spacing w:after="0"/>
              <w:rPr>
                <w:sz w:val="13"/>
                <w:szCs w:val="13"/>
                <w:color w:val="auto"/>
              </w:rPr>
            </w:pPr>
          </w:p>
        </w:tc>
        <w:tc>
          <w:tcPr>
            <w:tcW w:w="90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Net Change</w:t>
            </w:r>
          </w:p>
        </w:tc>
        <w:tc>
          <w:tcPr>
            <w:tcW w:w="240" w:type="dxa"/>
            <w:vAlign w:val="bottom"/>
          </w:tcPr>
          <w:p>
            <w:pPr>
              <w:spacing w:after="0"/>
              <w:rPr>
                <w:sz w:val="13"/>
                <w:szCs w:val="13"/>
                <w:color w:val="auto"/>
              </w:rPr>
            </w:pPr>
          </w:p>
        </w:tc>
        <w:tc>
          <w:tcPr>
            <w:tcW w:w="9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3"/>
                <w:szCs w:val="13"/>
                <w:color w:val="auto"/>
              </w:rPr>
            </w:pPr>
          </w:p>
        </w:tc>
        <w:tc>
          <w:tcPr>
            <w:tcW w:w="92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Net Change</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i w:val="1"/>
                <w:iCs w:val="1"/>
                <w:color w:val="auto"/>
                <w:w w:val="85"/>
              </w:rPr>
              <w:t>(U.S. Dollars</w:t>
            </w:r>
          </w:p>
        </w:tc>
        <w:tc>
          <w:tcPr>
            <w:tcW w:w="24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i w:val="1"/>
                <w:iCs w:val="1"/>
                <w:color w:val="auto"/>
                <w:w w:val="91"/>
              </w:rPr>
              <w:t>in</w:t>
            </w:r>
          </w:p>
        </w:tc>
        <w:tc>
          <w:tcPr>
            <w:tcW w:w="9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i w:val="1"/>
                <w:iCs w:val="1"/>
                <w:color w:val="auto"/>
              </w:rPr>
              <w:t>thousands)</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Interest-earning deposits in Central Bank</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(7,110)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(1,520)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(8,630)</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21,781</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2,145</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3"/>
              </w:rPr>
              <w:t>23,926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5,797</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(30,210)</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(24,413)</w:t>
            </w:r>
          </w:p>
        </w:tc>
        <w:tc>
          <w:tcPr>
            <w:tcW w:w="11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89"/>
              </w:rPr>
              <w:t>79</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7"/>
              </w:rPr>
              <w:t>(206)</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7"/>
              </w:rPr>
              <w:t>(127)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(1,313)</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(31,730)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(33,043)</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21,860</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1,939</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3"/>
              </w:rPr>
              <w:t>23,799</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Deposits in other banks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1,718</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1,194</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6"/>
              </w:rPr>
              <w:t>2,912</w:t>
            </w:r>
          </w:p>
        </w:tc>
        <w:tc>
          <w:tcPr>
            <w:tcW w:w="11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(2,917)</w:t>
            </w:r>
          </w:p>
        </w:tc>
        <w:tc>
          <w:tcPr>
            <w:tcW w:w="114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(1,681)</w:t>
            </w:r>
          </w:p>
        </w:tc>
        <w:tc>
          <w:tcPr>
            <w:tcW w:w="1120" w:type="dxa"/>
            <w:vAlign w:val="bottom"/>
            <w:gridSpan w:val="2"/>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4"/>
              </w:rPr>
              <w:t>(4,598)</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6,261</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(35,478)</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(29,217)</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7"/>
              </w:rPr>
              <w:t>(372)</w:t>
            </w:r>
          </w:p>
        </w:tc>
        <w:tc>
          <w:tcPr>
            <w:tcW w:w="114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(2,410)</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(2,782)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7,979</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(34,284)</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(26,305)</w:t>
            </w:r>
          </w:p>
        </w:tc>
        <w:tc>
          <w:tcPr>
            <w:tcW w:w="11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(3,289)</w:t>
            </w:r>
          </w:p>
        </w:tc>
        <w:tc>
          <w:tcPr>
            <w:tcW w:w="114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(4,091)</w:t>
            </w:r>
          </w:p>
        </w:tc>
        <w:tc>
          <w:tcPr>
            <w:tcW w:w="1120" w:type="dxa"/>
            <w:vAlign w:val="bottom"/>
            <w:gridSpan w:val="2"/>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4"/>
              </w:rPr>
              <w:t>(7,380)</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(69,951)</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(78,892)</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6"/>
              </w:rPr>
              <w:t>(148,843)</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16,842</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9,577</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3"/>
              </w:rPr>
              <w:t>26,419</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(2,198)</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3"/>
              </w:rPr>
              <w:t>39,649</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88"/>
              </w:rPr>
              <w:t>37,451</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7"/>
              </w:rPr>
              <w:t>(515)</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(15,738)</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1"/>
              </w:rPr>
              <w:t>(16,253)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(72,149)</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(39,243)</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0"/>
              </w:rPr>
              <w:t>(111,392)</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16,327</w:t>
            </w:r>
          </w:p>
        </w:tc>
        <w:tc>
          <w:tcPr>
            <w:tcW w:w="114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(6,161)</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3"/>
              </w:rPr>
              <w:t>10,166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Total loans(1)</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121,383</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3"/>
              </w:rPr>
              <w:t>15,580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0"/>
              </w:rPr>
              <w:t>136,963</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146,875</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3"/>
              </w:rPr>
              <w:t>14,763</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161,638</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23,812</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(62,669)</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(38,857)</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89,027</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(93,983)</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(4,956)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145,195</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(47,089)</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88"/>
              </w:rPr>
              <w:t>98,106</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235,902</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(79,220)</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156,682</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(542)</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(4,073)</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(4,615)</w:t>
            </w:r>
          </w:p>
        </w:tc>
        <w:tc>
          <w:tcPr>
            <w:tcW w:w="11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874</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0"/>
              </w:rPr>
              <w:t>3,878)</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1"/>
              </w:rPr>
              <w:t>4,752</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334</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1,807</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6"/>
              </w:rPr>
              <w:t>2,141</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1"/>
              </w:rPr>
              <w:t>6,310</w:t>
            </w:r>
          </w:p>
        </w:tc>
        <w:tc>
          <w:tcPr>
            <w:tcW w:w="114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(9,163)</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(2,853)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(208)</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(2,266)</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(2,474)</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1"/>
              </w:rPr>
              <w:t>7,184</w:t>
            </w:r>
          </w:p>
        </w:tc>
        <w:tc>
          <w:tcPr>
            <w:tcW w:w="114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(5,285)</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1"/>
              </w:rPr>
              <w:t>1,899</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(14,404)</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(7,809)</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(22,213)</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278,207</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(66,070)</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212,137</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42,646</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(95,541)</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(52,895)</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63,656</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(90,627)</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1"/>
              </w:rPr>
              <w:t>(26,971)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28,242</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3"/>
              </w:rPr>
              <w:t>(103,350)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(75,108)</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341,863</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3"/>
              </w:rPr>
              <w:t>(156,697)</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185,166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Demand deposits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508</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0"/>
              </w:rPr>
              <w:t>(8,116)</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(7,608)</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1"/>
              </w:rPr>
              <w:t>4,716</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(10,946)</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(6,230)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477</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(9,540)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(9,063)</w:t>
            </w:r>
          </w:p>
        </w:tc>
        <w:tc>
          <w:tcPr>
            <w:tcW w:w="11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747</w:t>
            </w:r>
          </w:p>
        </w:tc>
        <w:tc>
          <w:tcPr>
            <w:tcW w:w="114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(2,273)</w:t>
            </w:r>
          </w:p>
        </w:tc>
        <w:tc>
          <w:tcPr>
            <w:tcW w:w="1120" w:type="dxa"/>
            <w:vAlign w:val="bottom"/>
            <w:gridSpan w:val="2"/>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4"/>
              </w:rPr>
              <w:t>(1,526)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985</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(17,656)</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(16,671)</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1"/>
              </w:rPr>
              <w:t>5,463</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(13,219)</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(7,756)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Savings deposits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1,660</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(6,561)</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(4,901)</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1"/>
              </w:rPr>
              <w:t>2,927</w:t>
            </w:r>
          </w:p>
        </w:tc>
        <w:tc>
          <w:tcPr>
            <w:tcW w:w="114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(7,445)</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(4,518)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3,432</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(7,187)</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(3,755)</w:t>
            </w:r>
          </w:p>
        </w:tc>
        <w:tc>
          <w:tcPr>
            <w:tcW w:w="11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770</w:t>
            </w:r>
          </w:p>
        </w:tc>
        <w:tc>
          <w:tcPr>
            <w:tcW w:w="114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4"/>
              </w:rPr>
              <w:t>(5,936)</w:t>
            </w:r>
          </w:p>
        </w:tc>
        <w:tc>
          <w:tcPr>
            <w:tcW w:w="1120" w:type="dxa"/>
            <w:vAlign w:val="bottom"/>
            <w:gridSpan w:val="2"/>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4"/>
              </w:rPr>
              <w:t>(5,166)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5,092</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(13,748)</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(8,656)</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1"/>
              </w:rPr>
              <w:t>3,697</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(13,381)</w:t>
            </w:r>
          </w:p>
        </w:tc>
        <w:tc>
          <w:tcPr>
            <w:tcW w:w="112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(9,684)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Time deposits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(39,387)</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(30,438)</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(69,825)</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38,464</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(55,515)</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1"/>
              </w:rPr>
              <w:t>(17,051)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23,435</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(58,349)</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(34,914)</w:t>
            </w:r>
          </w:p>
        </w:tc>
        <w:tc>
          <w:tcPr>
            <w:tcW w:w="116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4"/>
              </w:rPr>
              <w:t>(6,038)</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(29,113)</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1"/>
              </w:rPr>
              <w:t>(35,151)</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(15,952)</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(88,787)</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6"/>
              </w:rPr>
              <w:t>(104,739)</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32,426</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(84,628)</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1"/>
              </w:rPr>
              <w:t>(52,202)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 and issued bonds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529</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(4,441)</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4"/>
              </w:rPr>
              <w:t>(3,912)</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(9)</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7,131</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1"/>
              </w:rPr>
              <w:t>7,122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(21,863)</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(13,389)</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(35,252)</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20,694</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(11,612)</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1"/>
              </w:rPr>
              <w:t>9,082</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(21,334)</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(17,830)</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(39,164)</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20,685</w:t>
            </w:r>
          </w:p>
        </w:tc>
        <w:tc>
          <w:tcPr>
            <w:tcW w:w="114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(4,481)</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3"/>
              </w:rPr>
              <w:t>16,204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3,974</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85"/>
              </w:rPr>
              <w:t>295</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6"/>
              </w:rPr>
              <w:t>4,269</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1"/>
              </w:rPr>
              <w:t>3,213</w:t>
            </w:r>
          </w:p>
        </w:tc>
        <w:tc>
          <w:tcPr>
            <w:tcW w:w="114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4"/>
              </w:rPr>
              <w:t>(3,895)</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7"/>
              </w:rPr>
              <w:t>(682)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14,147</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(17,180)</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4"/>
              </w:rPr>
              <w:t>(3,033)</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15,081</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2"/>
              </w:rPr>
              <w:t>18,593)</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93"/>
              </w:rPr>
              <w:t>33,674</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18,121</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(16,885)</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6"/>
              </w:rPr>
              <w:t>1,236</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18,294</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3"/>
              </w:rPr>
              <w:t>14,698</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3"/>
              </w:rPr>
              <w:t>32,992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(15,924)</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(66,053)</w:t>
            </w:r>
          </w:p>
        </w:tc>
        <w:tc>
          <w:tcPr>
            <w:tcW w:w="114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(81,977)</w:t>
            </w:r>
          </w:p>
        </w:tc>
        <w:tc>
          <w:tcPr>
            <w:tcW w:w="11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49,842</w:t>
            </w:r>
          </w:p>
        </w:tc>
        <w:tc>
          <w:tcPr>
            <w:tcW w:w="11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1"/>
              </w:rPr>
              <w:t>(71,202)</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color w:val="auto"/>
                <w:w w:val="91"/>
              </w:rPr>
              <w:t>(21,360)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92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23,354</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3"/>
              </w:rPr>
              <w:t>(109,369)</w:t>
            </w:r>
          </w:p>
        </w:tc>
        <w:tc>
          <w:tcPr>
            <w:tcW w:w="114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5"/>
              </w:rPr>
              <w:t>(86,015)</w:t>
            </w:r>
          </w:p>
        </w:tc>
        <w:tc>
          <w:tcPr>
            <w:tcW w:w="116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28,145</w:t>
            </w:r>
          </w:p>
        </w:tc>
        <w:tc>
          <w:tcPr>
            <w:tcW w:w="1140" w:type="dxa"/>
            <w:vAlign w:val="bottom"/>
            <w:gridSpan w:val="2"/>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w w:val="91"/>
              </w:rPr>
              <w:t>(27,232)</w:t>
            </w:r>
          </w:p>
        </w:tc>
        <w:tc>
          <w:tcPr>
            <w:tcW w:w="1120" w:type="dxa"/>
            <w:vAlign w:val="bottom"/>
            <w:gridSpan w:val="2"/>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w w:val="85"/>
              </w:rPr>
              <w:t>913</w:t>
            </w:r>
          </w:p>
        </w:tc>
        <w:tc>
          <w:tcPr>
            <w:tcW w:w="100" w:type="dxa"/>
            <w:vAlign w:val="bottom"/>
            <w:shd w:val="clear" w:color="auto" w:fill="CCFFCC"/>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Arial" w:cs="Arial" w:eastAsia="Arial" w:hAnsi="Arial"/>
                <w:sz w:val="14"/>
                <w:szCs w:val="14"/>
                <w:color w:val="auto"/>
              </w:rPr>
              <w:t>Total</w:t>
            </w:r>
          </w:p>
        </w:tc>
        <w:tc>
          <w:tcPr>
            <w:tcW w:w="920" w:type="dxa"/>
            <w:vAlign w:val="bottom"/>
          </w:tcPr>
          <w:p>
            <w:pPr>
              <w:jc w:val="center"/>
              <w:spacing w:after="0"/>
              <w:rPr>
                <w:sz w:val="20"/>
                <w:szCs w:val="20"/>
                <w:color w:val="auto"/>
              </w:rPr>
            </w:pPr>
            <w:r>
              <w:rPr>
                <w:rFonts w:ascii="Arial" w:cs="Arial" w:eastAsia="Arial" w:hAnsi="Arial"/>
                <w:sz w:val="14"/>
                <w:szCs w:val="14"/>
                <w:color w:val="auto"/>
                <w:w w:val="91"/>
              </w:rPr>
              <w:t>7,430</w:t>
            </w:r>
          </w:p>
        </w:tc>
        <w:tc>
          <w:tcPr>
            <w:tcW w:w="1140" w:type="dxa"/>
            <w:vAlign w:val="bottom"/>
            <w:gridSpan w:val="2"/>
          </w:tcPr>
          <w:p>
            <w:pPr>
              <w:jc w:val="center"/>
              <w:ind w:left="148"/>
              <w:spacing w:after="0"/>
              <w:rPr>
                <w:sz w:val="20"/>
                <w:szCs w:val="20"/>
                <w:color w:val="auto"/>
              </w:rPr>
            </w:pPr>
            <w:r>
              <w:rPr>
                <w:rFonts w:ascii="Arial" w:cs="Arial" w:eastAsia="Arial" w:hAnsi="Arial"/>
                <w:sz w:val="14"/>
                <w:szCs w:val="14"/>
                <w:color w:val="auto"/>
                <w:w w:val="93"/>
              </w:rPr>
              <w:t>(175,422)</w:t>
            </w:r>
          </w:p>
        </w:tc>
        <w:tc>
          <w:tcPr>
            <w:tcW w:w="1140" w:type="dxa"/>
            <w:vAlign w:val="bottom"/>
            <w:gridSpan w:val="2"/>
          </w:tcPr>
          <w:p>
            <w:pPr>
              <w:jc w:val="center"/>
              <w:ind w:left="168"/>
              <w:spacing w:after="0"/>
              <w:rPr>
                <w:sz w:val="20"/>
                <w:szCs w:val="20"/>
                <w:color w:val="auto"/>
              </w:rPr>
            </w:pPr>
            <w:r>
              <w:rPr>
                <w:rFonts w:ascii="Arial" w:cs="Arial" w:eastAsia="Arial" w:hAnsi="Arial"/>
                <w:sz w:val="14"/>
                <w:szCs w:val="14"/>
                <w:color w:val="auto"/>
                <w:w w:val="96"/>
              </w:rPr>
              <w:t>(167,992)</w:t>
            </w:r>
          </w:p>
        </w:tc>
        <w:tc>
          <w:tcPr>
            <w:tcW w:w="1160" w:type="dxa"/>
            <w:vAlign w:val="bottom"/>
            <w:gridSpan w:val="2"/>
          </w:tcPr>
          <w:p>
            <w:pPr>
              <w:jc w:val="center"/>
              <w:ind w:left="168"/>
              <w:spacing w:after="0"/>
              <w:rPr>
                <w:sz w:val="20"/>
                <w:szCs w:val="20"/>
                <w:color w:val="auto"/>
              </w:rPr>
            </w:pPr>
            <w:r>
              <w:rPr>
                <w:rFonts w:ascii="Arial" w:cs="Arial" w:eastAsia="Arial" w:hAnsi="Arial"/>
                <w:sz w:val="14"/>
                <w:szCs w:val="14"/>
                <w:color w:val="auto"/>
                <w:w w:val="93"/>
              </w:rPr>
              <w:t>77,987</w:t>
            </w:r>
          </w:p>
        </w:tc>
        <w:tc>
          <w:tcPr>
            <w:tcW w:w="1140" w:type="dxa"/>
            <w:vAlign w:val="bottom"/>
            <w:gridSpan w:val="2"/>
          </w:tcPr>
          <w:p>
            <w:pPr>
              <w:jc w:val="center"/>
              <w:ind w:left="148"/>
              <w:spacing w:after="0"/>
              <w:rPr>
                <w:sz w:val="20"/>
                <w:szCs w:val="20"/>
                <w:color w:val="auto"/>
              </w:rPr>
            </w:pPr>
            <w:r>
              <w:rPr>
                <w:rFonts w:ascii="Arial" w:cs="Arial" w:eastAsia="Arial" w:hAnsi="Arial"/>
                <w:sz w:val="14"/>
                <w:szCs w:val="14"/>
                <w:color w:val="auto"/>
                <w:w w:val="91"/>
              </w:rPr>
              <w:t>(98,434)</w:t>
            </w:r>
          </w:p>
        </w:tc>
        <w:tc>
          <w:tcPr>
            <w:tcW w:w="1120" w:type="dxa"/>
            <w:vAlign w:val="bottom"/>
            <w:gridSpan w:val="2"/>
          </w:tcPr>
          <w:p>
            <w:pPr>
              <w:jc w:val="center"/>
              <w:ind w:left="128"/>
              <w:spacing w:after="0"/>
              <w:rPr>
                <w:sz w:val="20"/>
                <w:szCs w:val="20"/>
                <w:color w:val="auto"/>
              </w:rPr>
            </w:pPr>
            <w:r>
              <w:rPr>
                <w:rFonts w:ascii="Arial" w:cs="Arial" w:eastAsia="Arial" w:hAnsi="Arial"/>
                <w:sz w:val="14"/>
                <w:szCs w:val="14"/>
                <w:color w:val="auto"/>
                <w:w w:val="91"/>
              </w:rPr>
              <w:t>(20,447)</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00" w:right="20" w:hanging="492"/>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7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Year ended December 31,</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w w:val="97"/>
              </w:rPr>
              <w:t>(U.S. Dollars</w:t>
            </w:r>
          </w:p>
        </w:tc>
        <w:tc>
          <w:tcPr>
            <w:tcW w:w="220" w:type="dxa"/>
            <w:vAlign w:val="bottom"/>
          </w:tcPr>
          <w:p>
            <w:pPr>
              <w:ind w:left="20"/>
              <w:spacing w:after="0"/>
              <w:rPr>
                <w:sz w:val="20"/>
                <w:szCs w:val="20"/>
                <w:color w:val="auto"/>
              </w:rPr>
            </w:pPr>
            <w:r>
              <w:rPr>
                <w:rFonts w:ascii="Arial" w:cs="Arial" w:eastAsia="Arial" w:hAnsi="Arial"/>
                <w:sz w:val="18"/>
                <w:szCs w:val="18"/>
                <w:i w:val="1"/>
                <w:iCs w:val="1"/>
                <w:color w:val="auto"/>
              </w:rPr>
              <w:t>in</w:t>
            </w:r>
          </w:p>
        </w:tc>
        <w:tc>
          <w:tcPr>
            <w:tcW w:w="2440" w:type="dxa"/>
            <w:vAlign w:val="bottom"/>
            <w:gridSpan w:val="4"/>
          </w:tcPr>
          <w:p>
            <w:pPr>
              <w:jc w:val="right"/>
              <w:ind w:right="200"/>
              <w:spacing w:after="0"/>
              <w:rPr>
                <w:sz w:val="20"/>
                <w:szCs w:val="20"/>
                <w:color w:val="auto"/>
              </w:rPr>
            </w:pPr>
            <w:r>
              <w:rPr>
                <w:rFonts w:ascii="Arial" w:cs="Arial" w:eastAsia="Arial" w:hAnsi="Arial"/>
                <w:sz w:val="18"/>
                <w:szCs w:val="18"/>
                <w:i w:val="1"/>
                <w:iCs w:val="1"/>
                <w:color w:val="auto"/>
                <w:w w:val="86"/>
              </w:rPr>
              <w:t>thousands, except percentages)</w:t>
            </w: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0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Nuevos Soles</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5,906,348</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5,766,213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8,508,979</w:t>
            </w: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Foreign Currency</w:t>
            </w:r>
          </w:p>
        </w:tc>
        <w:tc>
          <w:tcPr>
            <w:tcW w:w="12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12,513,405</w:t>
            </w:r>
          </w:p>
        </w:tc>
        <w:tc>
          <w:tcPr>
            <w:tcW w:w="12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13,232,295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14,454,072</w:t>
            </w: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18,419,753</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18,998,508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22,963,051</w:t>
            </w: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Nuevos Soles</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374,837</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434,601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668,097</w:t>
            </w: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Foreign Currency</w:t>
            </w:r>
          </w:p>
        </w:tc>
        <w:tc>
          <w:tcPr>
            <w:tcW w:w="12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441,899</w:t>
            </w:r>
          </w:p>
        </w:tc>
        <w:tc>
          <w:tcPr>
            <w:tcW w:w="12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475,019</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447,135</w:t>
            </w:r>
          </w:p>
        </w:tc>
      </w:tr>
      <w:tr>
        <w:trPr>
          <w:trHeight w:val="216"/>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816,736</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909,620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1,155,232</w:t>
            </w:r>
          </w:p>
        </w:tc>
      </w:tr>
    </w:tbl>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248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10.28%</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10.14%</w:t>
            </w:r>
          </w:p>
        </w:tc>
        <w:tc>
          <w:tcPr>
            <w:tcW w:w="86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16"/>
        </w:trPr>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4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5.93%</w:t>
            </w:r>
          </w:p>
        </w:tc>
        <w:tc>
          <w:tcPr>
            <w:tcW w:w="13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5.21%</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7.33%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6.71%</w:t>
            </w:r>
          </w:p>
        </w:tc>
        <w:tc>
          <w:tcPr>
            <w:tcW w:w="8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24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6.35%</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7.54%</w:t>
            </w:r>
          </w:p>
        </w:tc>
        <w:tc>
          <w:tcPr>
            <w:tcW w:w="86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4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3.53%</w:t>
            </w:r>
          </w:p>
        </w:tc>
        <w:tc>
          <w:tcPr>
            <w:tcW w:w="13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3.59%</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4.43%</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4.79%</w:t>
            </w:r>
          </w:p>
        </w:tc>
        <w:tc>
          <w:tcPr>
            <w:tcW w:w="86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24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6.50%</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7.52%</w:t>
            </w:r>
          </w:p>
        </w:tc>
        <w:tc>
          <w:tcPr>
            <w:tcW w:w="86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4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3.05%</w:t>
            </w:r>
          </w:p>
        </w:tc>
        <w:tc>
          <w:tcPr>
            <w:tcW w:w="13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3.30%</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4.11%</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4.56%</w:t>
            </w:r>
          </w:p>
        </w:tc>
        <w:tc>
          <w:tcPr>
            <w:tcW w:w="860" w:type="dxa"/>
            <w:vAlign w:val="bottom"/>
          </w:tcPr>
          <w:p>
            <w:pPr>
              <w:jc w:val="right"/>
              <w:spacing w:after="0"/>
              <w:rPr>
                <w:sz w:val="20"/>
                <w:szCs w:val="20"/>
                <w:color w:val="auto"/>
              </w:rPr>
            </w:pPr>
            <w:r>
              <w:rPr>
                <w:rFonts w:ascii="Arial" w:cs="Arial" w:eastAsia="Arial" w:hAnsi="Arial"/>
                <w:sz w:val="18"/>
                <w:szCs w:val="18"/>
                <w:color w:val="auto"/>
              </w:rPr>
              <w:t>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500" w:right="20" w:hanging="492"/>
        <w:spacing w:after="0" w:line="261"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short-term funds deposited with other banks. These deposits are denominated by currency as of the dates indicated.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Deposits held in countries other than Peru are denominated in several currencies; however, the majority of these deposits are denominated in U.S. Dollars.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currencies were converted to U.S. Dollars using the applicable SBS exchange rate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center"/>
              <w:ind w:left="330"/>
              <w:spacing w:after="0"/>
              <w:rPr>
                <w:sz w:val="20"/>
                <w:szCs w:val="20"/>
                <w:color w:val="auto"/>
              </w:rPr>
            </w:pPr>
            <w:r>
              <w:rPr>
                <w:rFonts w:ascii="Arial" w:cs="Arial" w:eastAsia="Arial" w:hAnsi="Arial"/>
                <w:sz w:val="18"/>
                <w:szCs w:val="18"/>
                <w:b w:val="1"/>
                <w:bCs w:val="1"/>
                <w:color w:val="auto"/>
                <w:w w:val="89"/>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center"/>
              <w:ind w:left="310"/>
              <w:spacing w:after="0"/>
              <w:rPr>
                <w:sz w:val="20"/>
                <w:szCs w:val="20"/>
                <w:color w:val="auto"/>
              </w:rPr>
            </w:pPr>
            <w:r>
              <w:rPr>
                <w:rFonts w:ascii="Arial" w:cs="Arial" w:eastAsia="Arial" w:hAnsi="Arial"/>
                <w:sz w:val="18"/>
                <w:szCs w:val="18"/>
                <w:i w:val="1"/>
                <w:iCs w:val="1"/>
                <w:color w:val="auto"/>
                <w:w w:val="92"/>
              </w:rPr>
              <w:t>(U.S. Dollars in thousands)</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Peruvian Central Bank</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56,753</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3,649,809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Commercial banks</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36,184</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43,982</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Nuevo Sol-denominated</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36,184</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100,735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3,732,779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Peruvian Central Bank (U.S. Dollars)</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1,601,574</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2,033,290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2,094,251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U.S. Dollars, other</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1,030,665</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763,631</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1,131,102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Foreign Currency-denominated</w:t>
            </w: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2,672,571</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2,797,437</w:t>
            </w:r>
          </w:p>
        </w:tc>
        <w:tc>
          <w:tcPr>
            <w:tcW w:w="480" w:type="dxa"/>
            <w:vAlign w:val="bottom"/>
            <w:gridSpan w:val="2"/>
            <w:shd w:val="clear" w:color="auto" w:fill="CCFFCC"/>
          </w:tcPr>
          <w:p>
            <w:pPr>
              <w:ind w:left="12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3,225,669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2,708,755</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2,898,172</w:t>
            </w:r>
          </w:p>
        </w:tc>
        <w:tc>
          <w:tcPr>
            <w:tcW w:w="48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6,958,478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fair value of our trading and available-for-sale investment securities designated by type of security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5 to the Credicorp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On December 31,</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center"/>
              <w:ind w:left="310"/>
              <w:spacing w:after="0"/>
              <w:rPr>
                <w:sz w:val="20"/>
                <w:szCs w:val="20"/>
                <w:color w:val="auto"/>
              </w:rPr>
            </w:pPr>
            <w:r>
              <w:rPr>
                <w:rFonts w:ascii="Arial" w:cs="Arial" w:eastAsia="Arial" w:hAnsi="Arial"/>
                <w:sz w:val="18"/>
                <w:szCs w:val="18"/>
                <w:i w:val="1"/>
                <w:iCs w:val="1"/>
                <w:color w:val="auto"/>
                <w:w w:val="92"/>
              </w:rPr>
              <w:t>(U.S. Dollars in thousands)</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Peruvian government bonds</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00" w:type="dxa"/>
            <w:vAlign w:val="bottom"/>
          </w:tcPr>
          <w:p>
            <w:pPr>
              <w:jc w:val="right"/>
              <w:spacing w:after="0"/>
              <w:rPr>
                <w:sz w:val="20"/>
                <w:szCs w:val="20"/>
                <w:color w:val="auto"/>
              </w:rPr>
            </w:pPr>
            <w:r>
              <w:rPr>
                <w:rFonts w:ascii="Arial" w:cs="Arial" w:eastAsia="Arial" w:hAnsi="Arial"/>
                <w:sz w:val="18"/>
                <w:szCs w:val="18"/>
                <w:color w:val="auto"/>
              </w:rPr>
              <w:t>244,037</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170,811</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w w:val="96"/>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119,481</w:t>
            </w: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199,410</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Bonds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150,917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Peruvian Central Bank certif. notes</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1,138,214</w:t>
            </w: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4"/>
              </w:rPr>
              <w:t>1,548,715</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149,591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Nuevo Sol-denominated</w:t>
            </w:r>
          </w:p>
        </w:tc>
        <w:tc>
          <w:tcPr>
            <w:tcW w:w="36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1,734,730</w:t>
            </w:r>
          </w:p>
        </w:tc>
        <w:tc>
          <w:tcPr>
            <w:tcW w:w="220" w:type="dxa"/>
            <w:vAlign w:val="bottom"/>
            <w:tcBorders>
              <w:left w:val="single" w:sz="8" w:color="CCFFCC"/>
            </w:tcBorders>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4"/>
              </w:rPr>
              <w:t>2,219,444</w:t>
            </w:r>
          </w:p>
        </w:tc>
        <w:tc>
          <w:tcPr>
            <w:tcW w:w="8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1,239,089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Foreign Currency-denominated:</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93,208</w:t>
            </w: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131,327</w:t>
            </w:r>
          </w:p>
        </w:tc>
        <w:tc>
          <w:tcPr>
            <w:tcW w:w="4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6"/>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Bonds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1,030,151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1,634,708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1,640,380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 Peruvian Government Bonds</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562,438</w:t>
            </w: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669,056</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Peruvian Central Bank certif. notes</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1,070,728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investment</w:t>
            </w:r>
          </w:p>
        </w:tc>
        <w:tc>
          <w:tcPr>
            <w:tcW w:w="3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452,347</w:t>
            </w: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443,493</w:t>
            </w: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Foreign Currency-denominated</w:t>
            </w: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3,208,872</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2,878,584</w:t>
            </w:r>
          </w:p>
        </w:tc>
        <w:tc>
          <w:tcPr>
            <w:tcW w:w="440" w:type="dxa"/>
            <w:vAlign w:val="bottom"/>
            <w:gridSpan w:val="2"/>
          </w:tcPr>
          <w:p>
            <w:pPr>
              <w:ind w:left="8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2,592,906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4,943,602</w:t>
            </w:r>
          </w:p>
        </w:tc>
        <w:tc>
          <w:tcPr>
            <w:tcW w:w="220" w:type="dxa"/>
            <w:vAlign w:val="bottom"/>
            <w:tcBorders>
              <w:left w:val="single" w:sz="8" w:color="CCFFCC"/>
            </w:tcBorders>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4"/>
              </w:rPr>
              <w:t>5,098,028</w:t>
            </w:r>
          </w:p>
        </w:tc>
        <w:tc>
          <w:tcPr>
            <w:tcW w:w="44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3,831,995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left w:val="single" w:sz="8" w:color="CCFFCC"/>
            </w:tcBorders>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interest-earning investment securities was 7.6% in 2008, 2.5% in 2009 and 1.9% in 2010. The weighted-average yield on our foreign currency-denominated portfolio was 3.3% in 2008, 4.5% in 2009 and 4.0% in 2010. The total weighted-average yield of our investment securities was 5.1% in 2008, 3.9% in 2009 and 3.6% in 2010.</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dividend-earning assets was 3.8% in 2008, 1.3% in 2009 and 3.0% in 2010. The weighted-average yield on our foreign currency-denominated portfolio was 5.1% in 2008, 6.7% in 2009 and 2.3% in 2010. The total weighted-average yield of our dividend-earning assets was 4.3% in 2008, 3.5% in 2009 and 2.7% in 2010.</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maturities of our trading and available-for-sale investment securities designated by type of security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After</w:t>
            </w:r>
          </w:p>
        </w:tc>
        <w:tc>
          <w:tcPr>
            <w:tcW w:w="10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8"/>
              </w:rPr>
              <w:t>Maturing</w:t>
            </w:r>
          </w:p>
        </w:tc>
        <w:tc>
          <w:tcPr>
            <w:tcW w:w="12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Maturing</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rPr>
              <w:t>After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After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1 year</w:t>
            </w:r>
          </w:p>
        </w:tc>
        <w:tc>
          <w:tcPr>
            <w:tcW w:w="104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86"/>
              </w:rPr>
              <w:t>3 years</w:t>
            </w:r>
          </w:p>
        </w:tc>
        <w:tc>
          <w:tcPr>
            <w:tcW w:w="12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5 years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8"/>
              </w:rPr>
              <w:t>Within</w:t>
            </w:r>
          </w:p>
        </w:tc>
        <w:tc>
          <w:tcPr>
            <w:tcW w:w="2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but</w:t>
            </w:r>
          </w:p>
        </w:tc>
        <w:tc>
          <w:tcPr>
            <w:tcW w:w="260" w:type="dxa"/>
            <w:vAlign w:val="bottom"/>
          </w:tcPr>
          <w:p>
            <w:pPr>
              <w:spacing w:after="0"/>
              <w:rPr>
                <w:sz w:val="12"/>
                <w:szCs w:val="12"/>
                <w:color w:val="auto"/>
              </w:rPr>
            </w:pPr>
          </w:p>
        </w:tc>
        <w:tc>
          <w:tcPr>
            <w:tcW w:w="7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rPr>
              <w:t>but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but</w:t>
            </w:r>
          </w:p>
        </w:tc>
        <w:tc>
          <w:tcPr>
            <w:tcW w:w="100" w:type="dxa"/>
            <w:vAlign w:val="bottom"/>
          </w:tcPr>
          <w:p>
            <w:pPr>
              <w:spacing w:after="0"/>
              <w:rPr>
                <w:sz w:val="12"/>
                <w:szCs w:val="12"/>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After 10</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within</w:t>
            </w:r>
          </w:p>
        </w:tc>
        <w:tc>
          <w:tcPr>
            <w:tcW w:w="260" w:type="dxa"/>
            <w:vAlign w:val="bottom"/>
          </w:tcPr>
          <w:p>
            <w:pPr>
              <w:spacing w:after="0"/>
              <w:rPr>
                <w:sz w:val="12"/>
                <w:szCs w:val="12"/>
                <w:color w:val="auto"/>
              </w:rPr>
            </w:pPr>
          </w:p>
        </w:tc>
        <w:tc>
          <w:tcPr>
            <w:tcW w:w="7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3"/>
              </w:rPr>
              <w:t>within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within</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1 year</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3 years</w:t>
            </w:r>
          </w:p>
        </w:tc>
        <w:tc>
          <w:tcPr>
            <w:tcW w:w="10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6"/>
              </w:rPr>
              <w:t>5 years</w:t>
            </w:r>
          </w:p>
        </w:tc>
        <w:tc>
          <w:tcPr>
            <w:tcW w:w="120" w:type="dxa"/>
            <w:vAlign w:val="bottom"/>
          </w:tcPr>
          <w:p>
            <w:pPr>
              <w:spacing w:after="0"/>
              <w:rPr>
                <w:sz w:val="15"/>
                <w:szCs w:val="15"/>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10 years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i w:val="1"/>
                <w:iCs w:val="1"/>
                <w:color w:val="auto"/>
              </w:rPr>
              <w:t>(U.S. Dollars</w:t>
            </w:r>
          </w:p>
        </w:tc>
        <w:tc>
          <w:tcPr>
            <w:tcW w:w="22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i w:val="1"/>
                <w:iCs w:val="1"/>
                <w:color w:val="auto"/>
                <w:w w:val="72"/>
              </w:rPr>
              <w:t>in</w:t>
            </w:r>
          </w:p>
        </w:tc>
        <w:tc>
          <w:tcPr>
            <w:tcW w:w="920" w:type="dxa"/>
            <w:vAlign w:val="bottom"/>
            <w:tcBorders>
              <w:top w:val="single" w:sz="8" w:color="auto"/>
              <w:bottom w:val="single" w:sz="8" w:color="auto"/>
            </w:tcBorders>
            <w:gridSpan w:val="2"/>
          </w:tcPr>
          <w:p>
            <w:pPr>
              <w:ind w:left="40"/>
              <w:spacing w:after="0" w:line="149" w:lineRule="exact"/>
              <w:rPr>
                <w:sz w:val="20"/>
                <w:szCs w:val="20"/>
                <w:color w:val="auto"/>
              </w:rPr>
            </w:pPr>
            <w:r>
              <w:rPr>
                <w:rFonts w:ascii="Arial" w:cs="Arial" w:eastAsia="Arial" w:hAnsi="Arial"/>
                <w:sz w:val="14"/>
                <w:szCs w:val="14"/>
                <w:i w:val="1"/>
                <w:iCs w:val="1"/>
                <w:color w:val="auto"/>
              </w:rPr>
              <w:t>thousands)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 xml:space="preserve">Nuevo Sol-denominated: </w:t>
            </w:r>
            <w:r>
              <w:rPr>
                <w:rFonts w:ascii="Arial" w:cs="Arial" w:eastAsia="Arial" w:hAnsi="Arial"/>
                <w:sz w:val="14"/>
                <w:szCs w:val="14"/>
                <w:color w:val="auto"/>
              </w:rPr>
              <w:t>(1)</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Peruvian government bonds</w:t>
            </w:r>
          </w:p>
        </w:tc>
        <w:tc>
          <w:tcPr>
            <w:tcW w:w="1480" w:type="dxa"/>
            <w:vAlign w:val="bottom"/>
            <w:gridSpan w:val="2"/>
          </w:tcPr>
          <w:p>
            <w:pPr>
              <w:ind w:left="1200"/>
              <w:spacing w:after="0" w:line="149" w:lineRule="exact"/>
              <w:rPr>
                <w:sz w:val="20"/>
                <w:szCs w:val="20"/>
                <w:color w:val="auto"/>
              </w:rPr>
            </w:pPr>
            <w:r>
              <w:rPr>
                <w:rFonts w:ascii="Arial" w:cs="Arial" w:eastAsia="Arial" w:hAnsi="Arial"/>
                <w:sz w:val="14"/>
                <w:szCs w:val="14"/>
                <w:color w:val="auto"/>
                <w:w w:val="95"/>
              </w:rPr>
              <w:t>US$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68,038</w:t>
            </w: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4,879</w:t>
            </w: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US$</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19,828</w:t>
            </w: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87"/>
              </w:rPr>
              <w:t>US$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56,648</w:t>
            </w: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US$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126,2925</w:t>
            </w: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 securities (1)</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230,921</w:t>
            </w: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230,921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Bonds and debentures</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16,950</w:t>
            </w:r>
          </w:p>
        </w:tc>
        <w:tc>
          <w:tcPr>
            <w:tcW w:w="2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31,882</w:t>
            </w:r>
          </w:p>
        </w:tc>
        <w:tc>
          <w:tcPr>
            <w:tcW w:w="2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36,043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64,171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61,346</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363,850</w:t>
            </w: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363,850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124,894</w:t>
            </w:r>
          </w:p>
        </w:tc>
        <w:tc>
          <w:tcPr>
            <w:tcW w:w="2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2,674</w:t>
            </w:r>
          </w:p>
        </w:tc>
        <w:tc>
          <w:tcPr>
            <w:tcW w:w="2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7,489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18,864</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Nuevo Sol-denominated</w:t>
            </w:r>
          </w:p>
        </w:tc>
        <w:tc>
          <w:tcPr>
            <w:tcW w:w="1480" w:type="dxa"/>
            <w:vAlign w:val="bottom"/>
            <w:gridSpan w:val="2"/>
            <w:shd w:val="clear" w:color="auto" w:fill="CCFFCC"/>
          </w:tcPr>
          <w:p>
            <w:pPr>
              <w:ind w:left="1200"/>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804,653</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39,435</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63,360</w:t>
            </w:r>
          </w:p>
        </w:tc>
        <w:tc>
          <w:tcPr>
            <w:tcW w:w="38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125,139</w:t>
            </w:r>
          </w:p>
        </w:tc>
        <w:tc>
          <w:tcPr>
            <w:tcW w:w="38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206,502</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1,239,089</w:t>
            </w: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Borders>
              <w:top w:val="single" w:sz="8" w:color="CCFFCC"/>
            </w:tcBorders>
          </w:tcPr>
          <w:p>
            <w:pPr>
              <w:spacing w:after="0" w:line="149" w:lineRule="exact"/>
              <w:rPr>
                <w:sz w:val="20"/>
                <w:szCs w:val="20"/>
                <w:color w:val="auto"/>
              </w:rPr>
            </w:pPr>
            <w:r>
              <w:rPr>
                <w:rFonts w:ascii="Arial" w:cs="Arial" w:eastAsia="Arial" w:hAnsi="Arial"/>
                <w:sz w:val="14"/>
                <w:szCs w:val="14"/>
                <w:b w:val="1"/>
                <w:bCs w:val="1"/>
                <w:color w:val="auto"/>
              </w:rPr>
              <w:t xml:space="preserve">Foreign Currency-denominated: </w:t>
            </w:r>
            <w:r>
              <w:rPr>
                <w:rFonts w:ascii="Arial" w:cs="Arial" w:eastAsia="Arial" w:hAnsi="Arial"/>
                <w:sz w:val="14"/>
                <w:szCs w:val="14"/>
                <w:color w:val="auto"/>
              </w:rPr>
              <w:t>(1)</w:t>
            </w:r>
          </w:p>
        </w:tc>
        <w:tc>
          <w:tcPr>
            <w:tcW w:w="1200" w:type="dxa"/>
            <w:vAlign w:val="bottom"/>
            <w:tcBorders>
              <w:top w:val="single" w:sz="8" w:color="CCFFC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government bonds</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23,358</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10,609</w:t>
            </w: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15,047</w:t>
            </w: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52,286</w:t>
            </w:r>
          </w:p>
        </w:tc>
        <w:tc>
          <w:tcPr>
            <w:tcW w:w="1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198,366</w:t>
            </w:r>
          </w:p>
        </w:tc>
        <w:tc>
          <w:tcPr>
            <w:tcW w:w="2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299,666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Equity securities (1)</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299,245</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179,070</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416,881</w:t>
            </w: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350,060</w:t>
            </w: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305,339</w:t>
            </w:r>
          </w:p>
        </w:tc>
        <w:tc>
          <w:tcPr>
            <w:tcW w:w="1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389,030</w:t>
            </w:r>
          </w:p>
        </w:tc>
        <w:tc>
          <w:tcPr>
            <w:tcW w:w="2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1,640,380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investments</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247,616</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4,684</w:t>
            </w: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11,757</w:t>
            </w: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33,658</w:t>
            </w:r>
          </w:p>
        </w:tc>
        <w:tc>
          <w:tcPr>
            <w:tcW w:w="1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55,900</w:t>
            </w:r>
          </w:p>
        </w:tc>
        <w:tc>
          <w:tcPr>
            <w:tcW w:w="2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353,615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Total Foreign Currency-denominated</w:t>
            </w:r>
          </w:p>
        </w:tc>
        <w:tc>
          <w:tcPr>
            <w:tcW w:w="120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749,289</w:t>
            </w:r>
          </w:p>
        </w:tc>
        <w:tc>
          <w:tcPr>
            <w:tcW w:w="22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432,174</w:t>
            </w:r>
          </w:p>
        </w:tc>
        <w:tc>
          <w:tcPr>
            <w:tcW w:w="260" w:type="dxa"/>
            <w:vAlign w:val="bottom"/>
          </w:tcPr>
          <w:p>
            <w:pPr>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376,864</w:t>
            </w: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391,283</w:t>
            </w: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643,296</w:t>
            </w:r>
          </w:p>
        </w:tc>
        <w:tc>
          <w:tcPr>
            <w:tcW w:w="280" w:type="dxa"/>
            <w:vAlign w:val="bottom"/>
          </w:tcPr>
          <w:p>
            <w:pPr>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2,592,906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securities holdings:</w:t>
            </w:r>
          </w:p>
        </w:tc>
        <w:tc>
          <w:tcPr>
            <w:tcW w:w="1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1,553,942</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471,606</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440,224</w:t>
            </w:r>
          </w:p>
        </w:tc>
        <w:tc>
          <w:tcPr>
            <w:tcW w:w="38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516,422</w:t>
            </w:r>
          </w:p>
        </w:tc>
        <w:tc>
          <w:tcPr>
            <w:tcW w:w="38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8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849,798</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u w:val="single" w:color="auto"/>
                <w:color w:val="auto"/>
                <w:w w:val="95"/>
              </w:rPr>
              <w:t>US</w:t>
            </w:r>
            <w:r>
              <w:rPr>
                <w:rFonts w:ascii="Arial" w:cs="Arial" w:eastAsia="Arial" w:hAnsi="Arial"/>
                <w:sz w:val="14"/>
                <w:szCs w:val="14"/>
                <w:color w:val="auto"/>
                <w:w w:val="95"/>
              </w:rPr>
              <w:t>$</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3,831,995</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CCFFCC"/>
          </w:tcPr>
          <w:p>
            <w:pPr>
              <w:spacing w:after="0"/>
              <w:rPr>
                <w:sz w:val="2"/>
                <w:szCs w:val="2"/>
                <w:color w:val="auto"/>
              </w:rPr>
            </w:pPr>
          </w:p>
        </w:tc>
        <w:tc>
          <w:tcPr>
            <w:tcW w:w="12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tcPr>
          <w:p>
            <w:pPr>
              <w:spacing w:after="0" w:line="149" w:lineRule="exact"/>
              <w:rPr>
                <w:sz w:val="20"/>
                <w:szCs w:val="20"/>
                <w:color w:val="auto"/>
              </w:rPr>
            </w:pPr>
            <w:r>
              <w:rPr>
                <w:rFonts w:ascii="Arial" w:cs="Arial" w:eastAsia="Arial" w:hAnsi="Arial"/>
                <w:sz w:val="14"/>
                <w:szCs w:val="14"/>
                <w:color w:val="auto"/>
              </w:rPr>
              <w:t>Weighted-average yield</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Equity securities in our account are categorized as maturing within one year.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maturities of our investment securities classified by trading and available-for-sale, as of December 31, 2010, are described in “Item 11. Quantitative and Qualitative Disclosures about Market Risk.”</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criteria described below, our management has determined that the unrealized losses as of December 31, 2009 and 2008 were temporary and intends to hold each investment for a sufficient period of time to allow for a potential recovery in fair value. This holding period will last until the earlier of the investment’s recovery or maturity.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investments (shares), management considers the following criteria to determine whether a loss is temporary:</w:t>
      </w:r>
    </w:p>
    <w:p>
      <w:pPr>
        <w:spacing w:after="0" w:line="252"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1" w:name="page62"/>
    <w:bookmarkEnd w:id="61"/>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debt investments (fixed maturity), management considers the following criteria to determine whether a loss is temporary:</w:t>
      </w:r>
    </w:p>
    <w:p>
      <w:pPr>
        <w:spacing w:after="0" w:line="252" w:lineRule="exact"/>
        <w:rPr>
          <w:sz w:val="20"/>
          <w:szCs w:val="20"/>
          <w:color w:val="auto"/>
        </w:rPr>
      </w:pPr>
    </w:p>
    <w:p>
      <w:pPr>
        <w:jc w:val="both"/>
        <w:ind w:left="980" w:hanging="324"/>
        <w:spacing w:after="0" w:line="273"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Management assesses the probability that the company will receive all amounts due (principal and interest) under the contract of the security. It considers a number of factors in identifying a credit-impaired security, including: (i) the nature of the security and the underlying collateral, (ii) the amount of subordination or credit enhancement supporting the security, (iii) the published credit rating and (iv) other analyses of the probable cash flows from the security. If recovery of all amounts due is not likely, management may determine that credit impairment exists and record unrealized losses in our consolidated income statement. The unrealized loss recorded in income represents the security’s decline in fair value, which includes the decline due to forecasted cash flow shortfalls as well as widening market spread.</w:t>
      </w:r>
    </w:p>
    <w:p>
      <w:pPr>
        <w:spacing w:after="0" w:line="205"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securities with unrealized losses not identified as a credit impairment, management determines whether it is desirable to hold the security for a period of time to allow for a potential recovery in the security’s amortized cost. Management estimates a security’s forecasted recovery period using current estimates of volatility in market interest rates (including liquidity and risk premiums). Management considers a number of factors to determine whether to hold an investment, including (i) a quantitative estimate of the expected recovery period (which may extend to maturity), (ii) the severity of the impairment and (iii) its strategy with respect to the security or portfolio. If management determines it is not desirable to hold the security for a sufficient period of time to allow for a potential recovery in the security’s amortized cost, we record the unrealized loss in our consolidated income statement.</w:t>
      </w:r>
    </w:p>
    <w:p>
      <w:pPr>
        <w:spacing w:after="0" w:line="212"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Loan Portfolio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loans by type of loan,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On December 31,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ind w:left="800"/>
              <w:spacing w:after="0"/>
              <w:rPr>
                <w:sz w:val="20"/>
                <w:szCs w:val="20"/>
                <w:color w:val="auto"/>
              </w:rPr>
            </w:pPr>
            <w:r>
              <w:rPr>
                <w:rFonts w:ascii="Arial" w:cs="Arial" w:eastAsia="Arial" w:hAnsi="Arial"/>
                <w:sz w:val="18"/>
                <w:szCs w:val="18"/>
                <w:i w:val="1"/>
                <w:iCs w:val="1"/>
                <w:color w:val="auto"/>
              </w:rPr>
              <w:t>(U.S. Dollars in thousands)</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280" w:type="dxa"/>
            <w:vAlign w:val="bottom"/>
            <w:gridSpan w:val="2"/>
            <w:shd w:val="clear" w:color="auto" w:fill="CCFFCC"/>
          </w:tcPr>
          <w:p>
            <w:pPr>
              <w:ind w:left="9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4,662,730</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6,520,116</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8,179,453</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8,986,884</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11,142,038</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Leasing transactions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675,804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1,118,301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1,792,827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1,997,562</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2,359,236</w:t>
            </w:r>
          </w:p>
        </w:tc>
      </w:tr>
      <w:tr>
        <w:trPr>
          <w:trHeight w:val="216"/>
        </w:trPr>
        <w:tc>
          <w:tcPr>
            <w:tcW w:w="2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256,534</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325,047</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368,648</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349,126</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477,709</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Factoring</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89,171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109,928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124,537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163,443</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250,974</w:t>
            </w:r>
          </w:p>
        </w:tc>
      </w:tr>
      <w:tr>
        <w:trPr>
          <w:trHeight w:val="216"/>
        </w:trPr>
        <w:tc>
          <w:tcPr>
            <w:tcW w:w="2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84,262</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127,486</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102,687</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47,147</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104,495</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Refinanced loans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126,006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88,451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55,179</w:t>
            </w: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59,459</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76,707</w:t>
            </w:r>
          </w:p>
        </w:tc>
      </w:tr>
      <w:tr>
        <w:trPr>
          <w:trHeight w:val="216"/>
        </w:trPr>
        <w:tc>
          <w:tcPr>
            <w:tcW w:w="2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Past-due loans</w:t>
            </w:r>
          </w:p>
        </w:tc>
        <w:tc>
          <w:tcPr>
            <w:tcW w:w="9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76,770</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61,488</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82,867</w:t>
            </w:r>
          </w:p>
        </w:tc>
        <w:tc>
          <w:tcPr>
            <w:tcW w:w="400" w:type="dxa"/>
            <w:vAlign w:val="bottom"/>
            <w:shd w:val="clear" w:color="auto" w:fill="CCFFCC"/>
          </w:tcPr>
          <w:p>
            <w:pPr>
              <w:spacing w:after="0"/>
              <w:rPr>
                <w:sz w:val="18"/>
                <w:szCs w:val="18"/>
                <w:color w:val="auto"/>
              </w:rPr>
            </w:pPr>
          </w:p>
        </w:tc>
        <w:tc>
          <w:tcPr>
            <w:tcW w:w="11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184,567</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209,908</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Unearned interest</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(93,916)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(166,972)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(249,914)</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(282,869)</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(343,003)</w:t>
            </w:r>
          </w:p>
        </w:tc>
      </w:tr>
      <w:tr>
        <w:trPr>
          <w:trHeight w:val="216"/>
        </w:trPr>
        <w:tc>
          <w:tcPr>
            <w:tcW w:w="2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80" w:type="dxa"/>
            <w:vAlign w:val="bottom"/>
            <w:gridSpan w:val="2"/>
            <w:shd w:val="clear" w:color="auto" w:fill="CCFFCC"/>
          </w:tcPr>
          <w:p>
            <w:pPr>
              <w:ind w:left="9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5,877,361</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8,183,845</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10,456,284</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11,505,319</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14,278,064</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Total past-due loans amounts</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(76,770)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(61,488)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(82,867)</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(184,567)</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(209,908)</w:t>
            </w: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performing loans</w:t>
            </w:r>
          </w:p>
        </w:tc>
        <w:tc>
          <w:tcPr>
            <w:tcW w:w="1280" w:type="dxa"/>
            <w:vAlign w:val="bottom"/>
            <w:gridSpan w:val="2"/>
            <w:shd w:val="clear" w:color="auto" w:fill="CCFFCC"/>
          </w:tcPr>
          <w:p>
            <w:pPr>
              <w:ind w:left="90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5,800,591</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8,122,357</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10,373,417</w:t>
            </w:r>
          </w:p>
        </w:tc>
        <w:tc>
          <w:tcPr>
            <w:tcW w:w="40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11,320,752</w:t>
            </w:r>
          </w:p>
        </w:tc>
        <w:tc>
          <w:tcPr>
            <w:tcW w:w="40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14,068,156</w:t>
            </w:r>
          </w:p>
        </w:tc>
      </w:tr>
      <w:tr>
        <w:trPr>
          <w:trHeight w:val="27"/>
        </w:trPr>
        <w:tc>
          <w:tcPr>
            <w:tcW w:w="20" w:type="dxa"/>
            <w:vAlign w:val="bottom"/>
          </w:tcPr>
          <w:p>
            <w:pPr>
              <w:spacing w:after="0"/>
              <w:rPr>
                <w:sz w:val="2"/>
                <w:szCs w:val="2"/>
                <w:color w:val="auto"/>
              </w:rPr>
            </w:pPr>
          </w:p>
        </w:tc>
        <w:tc>
          <w:tcPr>
            <w:tcW w:w="300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CCFFCC"/>
            </w:tcBorders>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loan portfolio categories set forth in the table above are based on SBS regulations, which apply to loans generated by BCP and ASHC. Pursuant to SBS guidelines, we categorize loans as follows:</w:t>
      </w:r>
    </w:p>
    <w:p>
      <w:pPr>
        <w:spacing w:after="0" w:line="197" w:lineRule="exact"/>
        <w:rPr>
          <w:sz w:val="20"/>
          <w:szCs w:val="20"/>
          <w:color w:val="auto"/>
        </w:rPr>
      </w:pPr>
    </w:p>
    <w:p>
      <w:pPr>
        <w:jc w:val="both"/>
        <w:ind w:left="980" w:hanging="324"/>
        <w:spacing w:after="0" w:line="264"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loans in various forms, including trade finance loans to importers and exporters on specialized terms adapted to the needs of the international trade transaction.</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Transactions that involve our acquisition of an asset and the leasing of that asset to a client.</w:t>
      </w:r>
    </w:p>
    <w:p>
      <w:pPr>
        <w:spacing w:after="0" w:line="25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we make a loan supported by a draft signed by one party and discounted by another party, with recourse to both parties.</w:t>
      </w:r>
    </w:p>
    <w:p>
      <w:pPr>
        <w:spacing w:after="0" w:line="20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Factoring: </w:t>
      </w:r>
      <w:r>
        <w:rPr>
          <w:rFonts w:ascii="Arial" w:cs="Arial" w:eastAsia="Arial" w:hAnsi="Arial"/>
          <w:sz w:val="18"/>
          <w:szCs w:val="18"/>
          <w:color w:val="auto"/>
        </w:rPr>
        <w:t>The sale of title to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recover from the seller in the event that the accounts are uncollectible. Under factoring loans, the seller receives funds from the bank prior to the average maturity date based on the invoice amount of the receivable, less cash discounts and allowances for estimated claims and returns, among other items.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ind w:left="980" w:hanging="324"/>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secured short-term advances.</w:t>
      </w:r>
    </w:p>
    <w:p>
      <w:pPr>
        <w:spacing w:after="0" w:line="19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Loans that were refinanced because the client was unable to pay at maturity. A loan is categorized as a refinanced loan when</w:t>
      </w:r>
      <w:r>
        <w:rPr>
          <w:rFonts w:ascii="Arial" w:cs="Arial" w:eastAsia="Arial" w:hAnsi="Arial"/>
          <w:sz w:val="18"/>
          <w:szCs w:val="18"/>
          <w:i w:val="1"/>
          <w:iCs w:val="1"/>
          <w:color w:val="auto"/>
        </w:rPr>
        <w:t xml:space="preserve"> </w:t>
      </w:r>
      <w:r>
        <w:rPr>
          <w:rFonts w:ascii="Arial" w:cs="Arial" w:eastAsia="Arial" w:hAnsi="Arial"/>
          <w:sz w:val="18"/>
          <w:szCs w:val="18"/>
          <w:color w:val="auto"/>
        </w:rPr>
        <w:t>a debtor is experiencing payment problems, unless the debtor is current on all interest payments and pays down at least 20% of the principal amount of the original loan. We have distinguished a sub-group titled “Restructured Loans,” which is defined as loans extended under the bankruptcy protection procedures established in the Equity Restructuring Law.</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Past-Due Loans: </w:t>
      </w:r>
      <w:r>
        <w:rPr>
          <w:rFonts w:ascii="Arial" w:cs="Arial" w:eastAsia="Arial" w:hAnsi="Arial"/>
          <w:sz w:val="18"/>
          <w:szCs w:val="18"/>
          <w:color w:val="auto"/>
        </w:rPr>
        <w:t>Includes overdue loans.</w:t>
      </w:r>
      <w:r>
        <w:rPr>
          <w:rFonts w:ascii="Arial" w:cs="Arial" w:eastAsia="Arial" w:hAnsi="Arial"/>
          <w:sz w:val="18"/>
          <w:szCs w:val="18"/>
          <w:i w:val="1"/>
          <w:iCs w:val="1"/>
          <w:color w:val="auto"/>
        </w:rPr>
        <w:t xml:space="preserve"> See </w:t>
      </w:r>
      <w:r>
        <w:rPr>
          <w:rFonts w:ascii="Arial" w:cs="Arial" w:eastAsia="Arial" w:hAnsi="Arial"/>
          <w:sz w:val="18"/>
          <w:szCs w:val="18"/>
          <w:color w:val="auto"/>
        </w:rPr>
        <w:t>“—Past-Due Loan Portfolio” for further detail.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our total loan portfolio composition, net of unearned interest, based on the borrower’s principal economic activity: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At December 31,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2006</w:t>
            </w:r>
          </w:p>
        </w:tc>
        <w:tc>
          <w:tcPr>
            <w:tcW w:w="1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2007</w:t>
            </w:r>
          </w:p>
        </w:tc>
        <w:tc>
          <w:tcPr>
            <w:tcW w:w="11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2008</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i w:val="1"/>
                <w:iCs w:val="1"/>
                <w:color w:val="auto"/>
                <w:w w:val="88"/>
              </w:rPr>
              <w:t>(U.S. Dollars in thousands, except percentages)</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Amount</w:t>
            </w: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 Total</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Amount</w:t>
            </w:r>
          </w:p>
        </w:tc>
        <w:tc>
          <w:tcPr>
            <w:tcW w:w="13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 Total</w:t>
            </w:r>
          </w:p>
        </w:tc>
        <w:tc>
          <w:tcPr>
            <w:tcW w:w="340" w:type="dxa"/>
            <w:vAlign w:val="bottom"/>
          </w:tcPr>
          <w:p>
            <w:pPr>
              <w:spacing w:after="0"/>
              <w:rPr>
                <w:sz w:val="13"/>
                <w:szCs w:val="13"/>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Amount</w:t>
            </w:r>
          </w:p>
        </w:tc>
        <w:tc>
          <w:tcPr>
            <w:tcW w:w="110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 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shd w:val="clear" w:color="auto" w:fill="CCFFCC"/>
          </w:tcPr>
          <w:p>
            <w:pPr>
              <w:spacing w:after="0" w:line="135" w:lineRule="exact"/>
              <w:rPr>
                <w:sz w:val="20"/>
                <w:szCs w:val="20"/>
                <w:color w:val="auto"/>
              </w:rPr>
            </w:pPr>
            <w:r>
              <w:rPr>
                <w:rFonts w:ascii="Arial" w:cs="Arial" w:eastAsia="Arial" w:hAnsi="Arial"/>
                <w:sz w:val="14"/>
                <w:szCs w:val="14"/>
                <w:color w:val="auto"/>
                <w:w w:val="96"/>
              </w:rPr>
              <w:t>Economic Activity</w:t>
            </w:r>
          </w:p>
        </w:tc>
        <w:tc>
          <w:tcPr>
            <w:tcW w:w="1740" w:type="dxa"/>
            <w:vAlign w:val="bottom"/>
            <w:tcBorders>
              <w:bottom w:val="single" w:sz="8" w:color="CCFFCC"/>
            </w:tcBorders>
            <w:shd w:val="clear" w:color="auto" w:fill="CCFFCC"/>
          </w:tcPr>
          <w:p>
            <w:pPr>
              <w:spacing w:after="0"/>
              <w:rPr>
                <w:sz w:val="11"/>
                <w:szCs w:val="11"/>
                <w:color w:val="auto"/>
              </w:rPr>
            </w:pPr>
          </w:p>
        </w:tc>
        <w:tc>
          <w:tcPr>
            <w:tcW w:w="280" w:type="dxa"/>
            <w:vAlign w:val="bottom"/>
            <w:tcBorders>
              <w:bottom w:val="single" w:sz="8" w:color="CCFFCC"/>
            </w:tcBorders>
            <w:shd w:val="clear" w:color="auto" w:fill="CCFFCC"/>
          </w:tcPr>
          <w:p>
            <w:pPr>
              <w:spacing w:after="0"/>
              <w:rPr>
                <w:sz w:val="11"/>
                <w:szCs w:val="11"/>
                <w:color w:val="auto"/>
              </w:rPr>
            </w:pPr>
          </w:p>
        </w:tc>
        <w:tc>
          <w:tcPr>
            <w:tcW w:w="320" w:type="dxa"/>
            <w:vAlign w:val="bottom"/>
            <w:tcBorders>
              <w:top w:val="single" w:sz="8" w:color="auto"/>
              <w:bottom w:val="single" w:sz="8" w:color="CCFFCC"/>
            </w:tcBorders>
            <w:shd w:val="clear" w:color="auto" w:fill="CCFFCC"/>
          </w:tcPr>
          <w:p>
            <w:pPr>
              <w:spacing w:after="0"/>
              <w:rPr>
                <w:sz w:val="11"/>
                <w:szCs w:val="11"/>
                <w:color w:val="auto"/>
              </w:rPr>
            </w:pPr>
          </w:p>
        </w:tc>
        <w:tc>
          <w:tcPr>
            <w:tcW w:w="940" w:type="dxa"/>
            <w:vAlign w:val="bottom"/>
            <w:tcBorders>
              <w:top w:val="single" w:sz="8" w:color="auto"/>
              <w:bottom w:val="single" w:sz="8" w:color="CCFFCC"/>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top w:val="single" w:sz="8" w:color="auto"/>
              <w:bottom w:val="single" w:sz="8" w:color="CCFFCC"/>
            </w:tcBorders>
            <w:shd w:val="clear" w:color="auto" w:fill="CCFFCC"/>
          </w:tcPr>
          <w:p>
            <w:pPr>
              <w:spacing w:after="0"/>
              <w:rPr>
                <w:sz w:val="11"/>
                <w:szCs w:val="11"/>
                <w:color w:val="auto"/>
              </w:rPr>
            </w:pPr>
          </w:p>
        </w:tc>
        <w:tc>
          <w:tcPr>
            <w:tcW w:w="14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340" w:type="dxa"/>
            <w:vAlign w:val="bottom"/>
            <w:tcBorders>
              <w:top w:val="single" w:sz="8" w:color="auto"/>
              <w:bottom w:val="single" w:sz="8" w:color="CCFFCC"/>
            </w:tcBorders>
            <w:shd w:val="clear" w:color="auto" w:fill="CCFFCC"/>
          </w:tcPr>
          <w:p>
            <w:pPr>
              <w:spacing w:after="0"/>
              <w:rPr>
                <w:sz w:val="11"/>
                <w:szCs w:val="11"/>
                <w:color w:val="auto"/>
              </w:rPr>
            </w:pPr>
          </w:p>
        </w:tc>
        <w:tc>
          <w:tcPr>
            <w:tcW w:w="92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bottom w:val="single" w:sz="8" w:color="CCFFCC"/>
              <w:right w:val="single" w:sz="8" w:color="CCFFCC"/>
            </w:tcBorders>
            <w:shd w:val="clear" w:color="auto" w:fill="CCFFCC"/>
          </w:tcPr>
          <w:p>
            <w:pPr>
              <w:spacing w:after="0"/>
              <w:rPr>
                <w:sz w:val="11"/>
                <w:szCs w:val="11"/>
                <w:color w:val="auto"/>
              </w:rPr>
            </w:pPr>
          </w:p>
        </w:tc>
        <w:tc>
          <w:tcPr>
            <w:tcW w:w="340" w:type="dxa"/>
            <w:vAlign w:val="bottom"/>
            <w:tcBorders>
              <w:top w:val="single" w:sz="8" w:color="auto"/>
              <w:bottom w:val="single" w:sz="8" w:color="CCFFCC"/>
            </w:tcBorders>
            <w:shd w:val="clear" w:color="auto" w:fill="CCFFCC"/>
          </w:tcPr>
          <w:p>
            <w:pPr>
              <w:spacing w:after="0"/>
              <w:rPr>
                <w:sz w:val="11"/>
                <w:szCs w:val="11"/>
                <w:color w:val="auto"/>
              </w:rPr>
            </w:pPr>
          </w:p>
        </w:tc>
        <w:tc>
          <w:tcPr>
            <w:tcW w:w="940" w:type="dxa"/>
            <w:vAlign w:val="bottom"/>
            <w:tcBorders>
              <w:top w:val="single" w:sz="8" w:color="auto"/>
              <w:bottom w:val="single" w:sz="8" w:color="CCFFCC"/>
            </w:tcBorders>
            <w:shd w:val="clear" w:color="auto" w:fill="CCFFCC"/>
          </w:tcPr>
          <w:p>
            <w:pPr>
              <w:spacing w:after="0"/>
              <w:rPr>
                <w:sz w:val="11"/>
                <w:szCs w:val="11"/>
                <w:color w:val="auto"/>
              </w:rPr>
            </w:pPr>
          </w:p>
        </w:tc>
        <w:tc>
          <w:tcPr>
            <w:tcW w:w="22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top w:val="single" w:sz="8" w:color="auto"/>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gridSpan w:val="2"/>
          </w:tcPr>
          <w:p>
            <w:pPr>
              <w:spacing w:after="0" w:line="142" w:lineRule="exact"/>
              <w:rPr>
                <w:sz w:val="20"/>
                <w:szCs w:val="20"/>
                <w:color w:val="auto"/>
              </w:rPr>
            </w:pPr>
            <w:r>
              <w:rPr>
                <w:rFonts w:ascii="Arial" w:cs="Arial" w:eastAsia="Arial" w:hAnsi="Arial"/>
                <w:sz w:val="14"/>
                <w:szCs w:val="14"/>
                <w:color w:val="auto"/>
              </w:rPr>
              <w:t>Manufacturing</w:t>
            </w: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US$</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1,624,765</w:t>
            </w:r>
          </w:p>
        </w:tc>
        <w:tc>
          <w:tcPr>
            <w:tcW w:w="200" w:type="dxa"/>
            <w:vAlign w:val="bottom"/>
          </w:tcPr>
          <w:p>
            <w:pPr>
              <w:spacing w:after="0"/>
              <w:rPr>
                <w:sz w:val="12"/>
                <w:szCs w:val="12"/>
                <w:color w:val="auto"/>
              </w:rPr>
            </w:pPr>
          </w:p>
        </w:tc>
        <w:tc>
          <w:tcPr>
            <w:tcW w:w="1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27.64%</w:t>
            </w:r>
          </w:p>
        </w:tc>
        <w:tc>
          <w:tcPr>
            <w:tcW w:w="4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US$</w:t>
            </w: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2,204,481</w:t>
            </w:r>
          </w:p>
        </w:tc>
        <w:tc>
          <w:tcPr>
            <w:tcW w:w="220" w:type="dxa"/>
            <w:vAlign w:val="bottom"/>
          </w:tcPr>
          <w:p>
            <w:pPr>
              <w:spacing w:after="0"/>
              <w:rPr>
                <w:sz w:val="12"/>
                <w:szCs w:val="12"/>
                <w:color w:val="auto"/>
              </w:rPr>
            </w:pPr>
          </w:p>
        </w:tc>
        <w:tc>
          <w:tcPr>
            <w:tcW w:w="13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26.94%</w:t>
            </w:r>
          </w:p>
        </w:tc>
        <w:tc>
          <w:tcPr>
            <w:tcW w:w="340" w:type="dxa"/>
            <w:vAlign w:val="bottom"/>
          </w:tcPr>
          <w:p>
            <w:pPr>
              <w:spacing w:after="0" w:line="142" w:lineRule="exact"/>
              <w:rPr>
                <w:sz w:val="20"/>
                <w:szCs w:val="20"/>
                <w:color w:val="auto"/>
              </w:rPr>
            </w:pPr>
            <w:r>
              <w:rPr>
                <w:rFonts w:ascii="Arial" w:cs="Arial" w:eastAsia="Arial" w:hAnsi="Arial"/>
                <w:sz w:val="14"/>
                <w:szCs w:val="14"/>
                <w:color w:val="auto"/>
              </w:rPr>
              <w:t>US$</w:t>
            </w:r>
          </w:p>
        </w:tc>
        <w:tc>
          <w:tcPr>
            <w:tcW w:w="11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2,535,326</w:t>
            </w:r>
          </w:p>
        </w:tc>
        <w:tc>
          <w:tcPr>
            <w:tcW w:w="1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Consumer Loans (1)</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1,729,682</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29.43</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2,480,916</w:t>
            </w:r>
          </w:p>
        </w:tc>
        <w:tc>
          <w:tcPr>
            <w:tcW w:w="220" w:type="dxa"/>
            <w:vAlign w:val="bottom"/>
            <w:shd w:val="clear" w:color="auto" w:fill="CCFFCC"/>
          </w:tcPr>
          <w:p>
            <w:pPr>
              <w:spacing w:after="0"/>
              <w:rPr>
                <w:sz w:val="12"/>
                <w:szCs w:val="12"/>
                <w:color w:val="auto"/>
              </w:rPr>
            </w:pP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30.31</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3,146,698</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Commerce</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686,291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884,253</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10.80</w:t>
            </w:r>
          </w:p>
        </w:tc>
        <w:tc>
          <w:tcPr>
            <w:tcW w:w="34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1,344,921</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Realty Business and Leasing Services</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236,445</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4.02</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387,180</w:t>
            </w: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4.73</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488,202</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Mining</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303,238</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463,577</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5.66</w:t>
            </w:r>
          </w:p>
        </w:tc>
        <w:tc>
          <w:tcPr>
            <w:tcW w:w="34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675,460</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Communication, Storage and Transportation</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255,730</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394,986</w:t>
            </w: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4.83</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515,412</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Electricity, Gas and Water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256,541</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341,718</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4.18</w:t>
            </w:r>
          </w:p>
        </w:tc>
        <w:tc>
          <w:tcPr>
            <w:tcW w:w="34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546,014</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Agriculture</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150,020</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179,509</w:t>
            </w: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228,623</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Fishing</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152,538</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134,235</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1.64</w:t>
            </w:r>
          </w:p>
        </w:tc>
        <w:tc>
          <w:tcPr>
            <w:tcW w:w="34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77,060</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Financial Services</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163,946</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2.79</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219,850</w:t>
            </w: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2.69</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439,234</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Education, Health and Other Services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75,376</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106,423</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w:t>
            </w:r>
          </w:p>
        </w:tc>
        <w:tc>
          <w:tcPr>
            <w:tcW w:w="34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128,527</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Construction</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74,482</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201,298</w:t>
            </w: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2.46</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229,667</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Others (2)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262,223</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352,391</w:t>
            </w: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4.31</w:t>
            </w:r>
          </w:p>
        </w:tc>
        <w:tc>
          <w:tcPr>
            <w:tcW w:w="34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351,054</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Sub total</w:t>
            </w:r>
          </w:p>
        </w:tc>
        <w:tc>
          <w:tcPr>
            <w:tcW w:w="2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5,971,277</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101.59</w:t>
            </w:r>
          </w:p>
        </w:tc>
        <w:tc>
          <w:tcPr>
            <w:tcW w:w="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8,350,817</w:t>
            </w:r>
          </w:p>
        </w:tc>
        <w:tc>
          <w:tcPr>
            <w:tcW w:w="220" w:type="dxa"/>
            <w:vAlign w:val="bottom"/>
            <w:shd w:val="clear" w:color="auto" w:fill="CCFFCC"/>
          </w:tcPr>
          <w:p>
            <w:pPr>
              <w:spacing w:after="0"/>
              <w:rPr>
                <w:sz w:val="12"/>
                <w:szCs w:val="12"/>
                <w:color w:val="auto"/>
              </w:rPr>
            </w:pPr>
          </w:p>
        </w:tc>
        <w:tc>
          <w:tcPr>
            <w:tcW w:w="132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102.04</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10,706,198</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CCFFCC"/>
          </w:tcPr>
          <w:p>
            <w:pPr>
              <w:spacing w:after="0"/>
              <w:rPr>
                <w:sz w:val="2"/>
                <w:szCs w:val="2"/>
                <w:color w:val="auto"/>
              </w:rPr>
            </w:pPr>
          </w:p>
        </w:tc>
        <w:tc>
          <w:tcPr>
            <w:tcW w:w="17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right w:val="single" w:sz="8" w:color="CCFFCC"/>
            </w:tcBorders>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Unearned interest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(93,916)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(166,972)</w:t>
            </w: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(2.04)</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2,535,326</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FFCC"/>
          </w:tcPr>
          <w:p>
            <w:pPr>
              <w:ind w:left="640"/>
              <w:spacing w:after="0" w:line="149" w:lineRule="exact"/>
              <w:rPr>
                <w:sz w:val="20"/>
                <w:szCs w:val="20"/>
                <w:color w:val="auto"/>
              </w:rPr>
            </w:pPr>
            <w:r>
              <w:rPr>
                <w:rFonts w:ascii="Arial" w:cs="Arial" w:eastAsia="Arial" w:hAnsi="Arial"/>
                <w:sz w:val="14"/>
                <w:szCs w:val="14"/>
                <w:color w:val="auto"/>
              </w:rPr>
              <w:t>Total</w:t>
            </w:r>
          </w:p>
        </w:tc>
        <w:tc>
          <w:tcPr>
            <w:tcW w:w="600" w:type="dxa"/>
            <w:vAlign w:val="bottom"/>
            <w:gridSpan w:val="2"/>
            <w:shd w:val="clear" w:color="auto" w:fill="CCFFCC"/>
          </w:tcPr>
          <w:p>
            <w:pPr>
              <w:ind w:left="280"/>
              <w:spacing w:after="0" w:line="149" w:lineRule="exact"/>
              <w:rPr>
                <w:sz w:val="20"/>
                <w:szCs w:val="20"/>
                <w:color w:val="auto"/>
              </w:rPr>
            </w:pPr>
            <w:r>
              <w:rPr>
                <w:rFonts w:ascii="Arial" w:cs="Arial" w:eastAsia="Arial" w:hAnsi="Arial"/>
                <w:sz w:val="14"/>
                <w:szCs w:val="14"/>
                <w:color w:val="auto"/>
              </w:rPr>
              <w:t>US$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5,877,361</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100.00%</w:t>
            </w:r>
          </w:p>
        </w:tc>
        <w:tc>
          <w:tcPr>
            <w:tcW w:w="4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8,183,845</w:t>
            </w:r>
          </w:p>
        </w:tc>
        <w:tc>
          <w:tcPr>
            <w:tcW w:w="220" w:type="dxa"/>
            <w:vAlign w:val="bottom"/>
            <w:shd w:val="clear" w:color="auto" w:fill="CCFFCC"/>
          </w:tcPr>
          <w:p>
            <w:pPr>
              <w:spacing w:after="0"/>
              <w:rPr>
                <w:sz w:val="12"/>
                <w:szCs w:val="12"/>
                <w:color w:val="auto"/>
              </w:rPr>
            </w:pPr>
          </w:p>
        </w:tc>
        <w:tc>
          <w:tcPr>
            <w:tcW w:w="1320" w:type="dxa"/>
            <w:vAlign w:val="bottom"/>
            <w:tcBorders>
              <w:right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3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3,146,698</w:t>
            </w:r>
          </w:p>
        </w:tc>
        <w:tc>
          <w:tcPr>
            <w:tcW w:w="1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3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1080"/>
              <w:spacing w:after="0"/>
              <w:rPr>
                <w:sz w:val="20"/>
                <w:szCs w:val="20"/>
                <w:color w:val="auto"/>
              </w:rPr>
            </w:pPr>
            <w:r>
              <w:rPr>
                <w:rFonts w:ascii="Arial" w:cs="Arial" w:eastAsia="Arial" w:hAnsi="Arial"/>
                <w:sz w:val="18"/>
                <w:szCs w:val="18"/>
                <w:b w:val="1"/>
                <w:bCs w:val="1"/>
                <w:color w:val="auto"/>
              </w:rPr>
              <w:t>At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11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i w:val="1"/>
                <w:iCs w:val="1"/>
                <w:color w:val="auto"/>
              </w:rPr>
              <w:t>(U.S. Dollars in thousands, except percentages)</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Amount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 Total</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Amount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color w:val="auto"/>
                <w:w w:val="94"/>
              </w:rPr>
              <w:t>Economic Activity</w:t>
            </w:r>
          </w:p>
        </w:tc>
        <w:tc>
          <w:tcPr>
            <w:tcW w:w="424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top w:val="single" w:sz="8" w:color="auto"/>
              <w:bottom w:val="single" w:sz="8" w:color="CCFFCC"/>
            </w:tcBorders>
            <w:shd w:val="clear" w:color="auto" w:fill="CCFFCC"/>
          </w:tcPr>
          <w:p>
            <w:pPr>
              <w:spacing w:after="0"/>
              <w:rPr>
                <w:sz w:val="17"/>
                <w:szCs w:val="17"/>
                <w:color w:val="auto"/>
              </w:rPr>
            </w:pPr>
          </w:p>
        </w:tc>
        <w:tc>
          <w:tcPr>
            <w:tcW w:w="98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top w:val="single" w:sz="8" w:color="auto"/>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340" w:type="dxa"/>
            <w:vAlign w:val="bottom"/>
            <w:tcBorders>
              <w:top w:val="single" w:sz="8" w:color="auto"/>
              <w:bottom w:val="single" w:sz="8" w:color="CCFFCC"/>
            </w:tcBorders>
            <w:shd w:val="clear" w:color="auto" w:fill="CCFFCC"/>
          </w:tcPr>
          <w:p>
            <w:pPr>
              <w:spacing w:after="0"/>
              <w:rPr>
                <w:sz w:val="17"/>
                <w:szCs w:val="17"/>
                <w:color w:val="auto"/>
              </w:rPr>
            </w:pPr>
          </w:p>
        </w:tc>
        <w:tc>
          <w:tcPr>
            <w:tcW w:w="980" w:type="dxa"/>
            <w:vAlign w:val="bottom"/>
            <w:tcBorders>
              <w:top w:val="single" w:sz="8" w:color="auto"/>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top w:val="single" w:sz="8" w:color="auto"/>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2,557,847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1"/>
              </w:rPr>
              <w:t>US$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3,003,465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3,963,449</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4,759,207</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Commerce</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1,330,023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1,931,441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489,614</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712,330</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Mining</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692,579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893,145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Communication, Storage and Transportation</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559,025</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720,749</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Electricity, Gas and Water</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782,289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969,437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Agriculture</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271,912</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293,685</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Fishing</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121,162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134,811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175,071</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252,869</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Education, Health and Other Services</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156,496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177,206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Construction</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175,508</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132,517</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Others (2)</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513,213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640,205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11,788,188</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102.46</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14,621,067</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CCFFCC"/>
          </w:tcPr>
          <w:p>
            <w:pPr>
              <w:spacing w:after="0"/>
              <w:rPr>
                <w:sz w:val="2"/>
                <w:szCs w:val="2"/>
                <w:color w:val="auto"/>
              </w:rPr>
            </w:pPr>
          </w:p>
        </w:tc>
        <w:tc>
          <w:tcPr>
            <w:tcW w:w="424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Unearned interest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(282,869)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(343,003)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11,505,319</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14,278,064</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2010, 69.0% of the loan portfolio was concentrated in Lima, 94.60% was concentrated in Peru, and 4.1% of the loan portfolio was concentrated in Bolivia.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have loans and other contingent credits with 20 customers (considered economic groups), which, as of December 31, 2010, was US$3,229.8 million. The amount of outstanding loans, US$3,229.8 million, represents 22.1% of the total loan portfolio. </w:t>
      </w:r>
      <w:r>
        <w:rPr>
          <w:rFonts w:ascii="Arial" w:cs="Arial" w:eastAsia="Arial" w:hAnsi="Arial"/>
          <w:sz w:val="16"/>
          <w:szCs w:val="16"/>
          <w:i w:val="1"/>
          <w:iCs w:val="1"/>
          <w:color w:val="auto"/>
        </w:rPr>
        <w:t>See</w:t>
      </w:r>
      <w:r>
        <w:rPr>
          <w:rFonts w:ascii="Arial" w:cs="Arial" w:eastAsia="Arial" w:hAnsi="Arial"/>
          <w:sz w:val="16"/>
          <w:szCs w:val="16"/>
          <w:color w:val="auto"/>
        </w:rPr>
        <w:t xml:space="preserve"> “—(11) Supervision and Regulation—(ii) BCP—Lending Activities” for the definition of “economic group.” Our total loans and other contingent credits outstanding to these customers ranged from US$314.8 million to US$107.0 million, including 17 customers with over US$122.4 million. Total loans and other contingent credits outstanding to our 20 largest customers were ranked in the following risk categories as of December 31, 2010: Class A (normal)—99.8%; Class B (potential problems)—0.2%; Class C (substandard)—0%; Class D (doubtful)—0%; and Class E (loss)—0%. </w:t>
      </w:r>
      <w:r>
        <w:rPr>
          <w:rFonts w:ascii="Arial" w:cs="Arial" w:eastAsia="Arial" w:hAnsi="Arial"/>
          <w:sz w:val="16"/>
          <w:szCs w:val="16"/>
          <w:i w:val="1"/>
          <w:iCs w:val="1"/>
          <w:color w:val="auto"/>
        </w:rPr>
        <w:t>See</w:t>
      </w:r>
      <w:r>
        <w:rPr>
          <w:rFonts w:ascii="Arial" w:cs="Arial" w:eastAsia="Arial" w:hAnsi="Arial"/>
          <w:sz w:val="16"/>
          <w:szCs w:val="16"/>
          <w:color w:val="auto"/>
        </w:rPr>
        <w:t xml:space="preserve"> “—Classification of the Loan Portfolio.”</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BCP’s loans to a single borrower are subject to lending limits imposed by Law 26702. </w:t>
      </w:r>
      <w:r>
        <w:rPr>
          <w:rFonts w:ascii="Arial" w:cs="Arial" w:eastAsia="Arial" w:hAnsi="Arial"/>
          <w:sz w:val="17"/>
          <w:szCs w:val="17"/>
          <w:i w:val="1"/>
          <w:iCs w:val="1"/>
          <w:color w:val="auto"/>
        </w:rPr>
        <w:t>See</w:t>
      </w:r>
      <w:r>
        <w:rPr>
          <w:rFonts w:ascii="Arial" w:cs="Arial" w:eastAsia="Arial" w:hAnsi="Arial"/>
          <w:sz w:val="17"/>
          <w:szCs w:val="17"/>
          <w:color w:val="auto"/>
        </w:rPr>
        <w:t xml:space="preserve"> “—(11) Supervision and Regulation—(ii) BCP—Lending Activities.” The lending limits depend on the nature of the borrower involved and the type of collateral received. The sum of BCP’s loans to and deposits in either another Peruvian universal bank or Peruvian financial institution, plus any guarantees of third party performance received by BCP from such institution, may not exceed 30% of BCP’s regulatory capital (as defined by the SBS). The sum of BCP’s loans to and deposits in non-Peruvian financial institutions, plus any guarantees of third party performance received by BCP from such institutions, are limited to 5%, 10% or 30% of BCP’s regulatory capital, depending upon the level of government supervision of the institution and whether the institution is recognized by the Central Bank as an international bank of prime credit quality. The limits on lending to non-Peruvian financial institutions increases to 50% of BCP’s regulatory capital if the amount by which such loans exceed the 5%, 10% or 30% limits is backed by certain letters of credit.</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BCP’s loans to directors and employees and their relatives have a global limit of 7% of capital stock and reserves and an individual limit of 5% of such global limit.</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to be of prime credit quality, or by other highly liquid securities at market value. The single borrower lending limit for loans backed by a cash deposit at BCP or by debt obligations of the Central Bank is 30% of BCP’s regulatory capital.</w:t>
      </w:r>
    </w:p>
    <w:p>
      <w:pPr>
        <w:spacing w:after="0" w:line="35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p>
      <w:pPr>
        <w:jc w:val="both"/>
        <w:ind w:firstLine="648"/>
        <w:spacing w:after="0" w:line="259" w:lineRule="auto"/>
        <w:rPr>
          <w:sz w:val="20"/>
          <w:szCs w:val="20"/>
          <w:color w:val="auto"/>
        </w:rPr>
      </w:pPr>
      <w:r>
        <w:rPr>
          <w:rFonts w:ascii="Arial" w:cs="Arial" w:eastAsia="Arial" w:hAnsi="Arial"/>
          <w:sz w:val="18"/>
          <w:szCs w:val="18"/>
          <w:color w:val="auto"/>
        </w:rPr>
        <w:t>With an unconsolidated regulatory capital of S/.5,517.3 million (US$1,964.1 million) on December 31, 2010, BCP’s legal lending limits varied from S/.551.7 million (US$196.4 million) to S/.2,758.7 million (US$982.1 million). Our consolidated lending limits, based on its regulatory capital on a consolidated basis of US$2,391.3 million on December 31, 2010, ranged from US$239.1 million to US$1,195.7 million. As of December 31, 2010, BCP was in compliance with Law 26702 lending limits.</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2009, we complied with the applicable legal lending limits in each of the jurisdictions in which we operate. These limits are calculated quarterly based upon our consolidated equity plus reserves for impaired loans not specifically identified at quarter-end. We have also set internal lending limits, which are more restrictive than those imposed by law. A limited number of exceptions to our internal limits have been authorized by our board of directors based on the credit quality of the borrower, the term of the loan, and the amount and quality of collateral provided. We may, in appropriate and limited circumstances, increase or choose to exceed these internal limits as long as our credit exposure does not exceed the legal lending limits.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experience an adverse impact on our financial condition and results of operations if (i) customers to which we have significant credit exposure are not able to satisfy their obligations to us, and any related collateral is not sufficient to cover these obligations, or (ii) a reclassification of one or more of these loans or other contingent credits results in an increase in provisions for loan losses.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Nuevo Sol and foreign currency-denominated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At December 31,</w:t>
            </w: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w w:val="77"/>
              </w:rPr>
              <w:t>(U.S.</w:t>
            </w:r>
          </w:p>
        </w:tc>
        <w:tc>
          <w:tcPr>
            <w:tcW w:w="33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i w:val="1"/>
                <w:iCs w:val="1"/>
                <w:color w:val="auto"/>
                <w:w w:val="96"/>
              </w:rPr>
              <w:t>Dollars in thousands, except percentages)</w:t>
            </w:r>
          </w:p>
        </w:tc>
        <w:tc>
          <w:tcPr>
            <w:tcW w:w="1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Nuevo Sol-denominated</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1,503,306</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25.58%</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2,461,787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30.08%</w:t>
            </w:r>
          </w:p>
        </w:tc>
        <w:tc>
          <w:tcPr>
            <w:tcW w:w="520" w:type="dxa"/>
            <w:vAlign w:val="bottom"/>
          </w:tcPr>
          <w:p>
            <w:pPr>
              <w:ind w:left="100"/>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3,351,720</w:t>
            </w:r>
          </w:p>
        </w:tc>
        <w:tc>
          <w:tcPr>
            <w:tcW w:w="960" w:type="dxa"/>
            <w:vAlign w:val="bottom"/>
          </w:tcPr>
          <w:p>
            <w:pPr>
              <w:jc w:val="right"/>
              <w:spacing w:after="0"/>
              <w:rPr>
                <w:sz w:val="20"/>
                <w:szCs w:val="20"/>
                <w:color w:val="auto"/>
              </w:rPr>
            </w:pPr>
            <w:r>
              <w:rPr>
                <w:rFonts w:ascii="Arial" w:cs="Arial" w:eastAsia="Arial" w:hAnsi="Arial"/>
                <w:sz w:val="18"/>
                <w:szCs w:val="18"/>
                <w:color w:val="auto"/>
              </w:rPr>
              <w:t>32.05%</w:t>
            </w:r>
          </w:p>
        </w:tc>
      </w:tr>
      <w:tr>
        <w:trPr>
          <w:trHeight w:val="216"/>
        </w:trPr>
        <w:tc>
          <w:tcPr>
            <w:tcW w:w="20" w:type="dxa"/>
            <w:vAlign w:val="bottom"/>
          </w:tcPr>
          <w:p>
            <w:pPr>
              <w:spacing w:after="0"/>
              <w:rPr>
                <w:sz w:val="18"/>
                <w:szCs w:val="18"/>
                <w:color w:val="auto"/>
              </w:rPr>
            </w:pPr>
          </w:p>
        </w:tc>
        <w:tc>
          <w:tcPr>
            <w:tcW w:w="25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4,374,055</w:t>
            </w:r>
          </w:p>
        </w:tc>
        <w:tc>
          <w:tcPr>
            <w:tcW w:w="10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74.42%</w:t>
            </w:r>
          </w:p>
        </w:tc>
        <w:tc>
          <w:tcPr>
            <w:tcW w:w="1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62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rPr>
              <w:t>5,722,058</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69.92%</w:t>
            </w:r>
          </w:p>
        </w:tc>
        <w:tc>
          <w:tcPr>
            <w:tcW w:w="520" w:type="dxa"/>
            <w:vAlign w:val="bottom"/>
            <w:shd w:val="clear" w:color="auto" w:fill="CCFFCC"/>
          </w:tcPr>
          <w:p>
            <w:pPr>
              <w:spacing w:after="0"/>
              <w:rPr>
                <w:sz w:val="18"/>
                <w:szCs w:val="18"/>
                <w:color w:val="auto"/>
              </w:rPr>
            </w:pPr>
          </w:p>
        </w:tc>
        <w:tc>
          <w:tcPr>
            <w:tcW w:w="13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7,104,564</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67.95%</w:t>
            </w: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 loans (1)</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5,877,361</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8,183,845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100.00%</w:t>
            </w:r>
          </w:p>
        </w:tc>
        <w:tc>
          <w:tcPr>
            <w:tcW w:w="520" w:type="dxa"/>
            <w:vAlign w:val="bottom"/>
          </w:tcPr>
          <w:p>
            <w:pPr>
              <w:ind w:left="100"/>
              <w:spacing w:after="0"/>
              <w:rPr>
                <w:sz w:val="20"/>
                <w:szCs w:val="20"/>
                <w:color w:val="auto"/>
              </w:rPr>
            </w:pPr>
            <w:r>
              <w:rPr>
                <w:rFonts w:ascii="Arial" w:cs="Arial" w:eastAsia="Arial" w:hAnsi="Arial"/>
                <w:sz w:val="18"/>
                <w:szCs w:val="18"/>
                <w:color w:val="auto"/>
              </w:rPr>
              <w:t>US$</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w w:val="97"/>
              </w:rPr>
              <w:t>10,456,284</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90"/>
              </w:rPr>
              <w:t>At December 31,</w:t>
            </w:r>
          </w:p>
        </w:tc>
        <w:tc>
          <w:tcPr>
            <w:tcW w:w="1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6"/>
          </w:tcPr>
          <w:p>
            <w:pPr>
              <w:jc w:val="center"/>
              <w:ind w:left="29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4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4,385,965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38.12%</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5,415,352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420" w:type="dxa"/>
            <w:vAlign w:val="bottom"/>
            <w:shd w:val="clear" w:color="auto" w:fill="CCFFCC"/>
          </w:tcPr>
          <w:p>
            <w:pPr>
              <w:spacing w:after="0"/>
              <w:rPr>
                <w:sz w:val="18"/>
                <w:szCs w:val="18"/>
                <w:color w:val="auto"/>
              </w:rPr>
            </w:pPr>
          </w:p>
        </w:tc>
        <w:tc>
          <w:tcPr>
            <w:tcW w:w="14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7,119,354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8,862,712</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62.07%</w:t>
            </w: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loans (1)</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w w:val="99"/>
              </w:rPr>
              <w:t>11,505,319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w w:val="90"/>
              </w:rPr>
              <w:t>14,278,064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analysis of our performing loan portfolio on December 31, 2010, by type and by time remaining to maturity. Loans are stated before deduction of the reserves for loan losses.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Maturing</w:t>
            </w: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Amount at</w:t>
            </w: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500"/>
              <w:spacing w:after="0" w:line="126" w:lineRule="exact"/>
              <w:rPr>
                <w:sz w:val="20"/>
                <w:szCs w:val="20"/>
                <w:color w:val="auto"/>
              </w:rPr>
            </w:pPr>
            <w:r>
              <w:rPr>
                <w:rFonts w:ascii="Arial" w:cs="Arial" w:eastAsia="Arial" w:hAnsi="Arial"/>
                <w:sz w:val="14"/>
                <w:szCs w:val="14"/>
                <w:b w:val="1"/>
                <w:bCs w:val="1"/>
                <w:color w:val="auto"/>
                <w:w w:val="99"/>
              </w:rPr>
              <w:t>After 3</w:t>
            </w:r>
          </w:p>
        </w:tc>
        <w:tc>
          <w:tcPr>
            <w:tcW w:w="14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After 1 year</w:t>
            </w:r>
          </w:p>
        </w:tc>
        <w:tc>
          <w:tcPr>
            <w:tcW w:w="14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After 3 years</w:t>
            </w: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Within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months</w:t>
            </w:r>
          </w:p>
        </w:tc>
        <w:tc>
          <w:tcPr>
            <w:tcW w:w="14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but within</w:t>
            </w:r>
          </w:p>
        </w:tc>
        <w:tc>
          <w:tcPr>
            <w:tcW w:w="26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but within</w:t>
            </w:r>
          </w:p>
        </w:tc>
        <w:tc>
          <w:tcPr>
            <w:tcW w:w="2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but within</w:t>
            </w: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3"/>
              </w:rPr>
              <w:t>3 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12 months</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3 years</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1"/>
              </w:rPr>
              <w:t>5 years</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9"/>
              </w:rPr>
              <w:t>5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spacing w:after="0" w:line="149" w:lineRule="exact"/>
              <w:rPr>
                <w:sz w:val="20"/>
                <w:szCs w:val="20"/>
                <w:color w:val="auto"/>
              </w:rPr>
            </w:pPr>
            <w:r>
              <w:rPr>
                <w:rFonts w:ascii="Arial" w:cs="Arial" w:eastAsia="Arial" w:hAnsi="Arial"/>
                <w:sz w:val="14"/>
                <w:szCs w:val="14"/>
                <w:i w:val="1"/>
                <w:iCs w:val="1"/>
                <w:color w:val="auto"/>
                <w:w w:val="96"/>
              </w:rPr>
              <w:t>(U.S. Dollars in thousands, except percentages)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1,142,038</w:t>
            </w:r>
          </w:p>
        </w:tc>
        <w:tc>
          <w:tcPr>
            <w:tcW w:w="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2,439,107</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2,208,225</w:t>
            </w:r>
          </w:p>
        </w:tc>
        <w:tc>
          <w:tcPr>
            <w:tcW w:w="240" w:type="dxa"/>
            <w:vAlign w:val="bottom"/>
            <w:tcBorders>
              <w:righ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11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2,953,865</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1,420,528</w:t>
            </w:r>
          </w:p>
        </w:tc>
        <w:tc>
          <w:tcPr>
            <w:tcW w:w="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2,120,313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2,359,236</w:t>
            </w:r>
          </w:p>
        </w:tc>
        <w:tc>
          <w:tcPr>
            <w:tcW w:w="3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352,520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935,698</w:t>
            </w:r>
          </w:p>
        </w:tc>
        <w:tc>
          <w:tcPr>
            <w:tcW w:w="26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439,543</w:t>
            </w:r>
          </w:p>
        </w:tc>
        <w:tc>
          <w:tcPr>
            <w:tcW w:w="2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375,186</w:t>
            </w:r>
          </w:p>
        </w:tc>
        <w:tc>
          <w:tcPr>
            <w:tcW w:w="3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256,289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477,709</w:t>
            </w:r>
          </w:p>
        </w:tc>
        <w:tc>
          <w:tcPr>
            <w:tcW w:w="3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448,105</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29,552</w:t>
            </w:r>
          </w:p>
        </w:tc>
        <w:tc>
          <w:tcPr>
            <w:tcW w:w="260" w:type="dxa"/>
            <w:vAlign w:val="bottom"/>
            <w:shd w:val="clear" w:color="auto" w:fill="CCFFCC"/>
          </w:tcPr>
          <w:p>
            <w:pPr>
              <w:spacing w:after="0"/>
              <w:rPr>
                <w:sz w:val="12"/>
                <w:szCs w:val="12"/>
                <w:color w:val="auto"/>
              </w:rPr>
            </w:pPr>
          </w:p>
        </w:tc>
        <w:tc>
          <w:tcPr>
            <w:tcW w:w="11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52</w:t>
            </w:r>
          </w:p>
        </w:tc>
        <w:tc>
          <w:tcPr>
            <w:tcW w:w="2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28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76,707</w:t>
            </w:r>
          </w:p>
        </w:tc>
        <w:tc>
          <w:tcPr>
            <w:tcW w:w="3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28,013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16,543</w:t>
            </w:r>
          </w:p>
        </w:tc>
        <w:tc>
          <w:tcPr>
            <w:tcW w:w="26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10,661</w:t>
            </w:r>
          </w:p>
        </w:tc>
        <w:tc>
          <w:tcPr>
            <w:tcW w:w="2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10,046</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11,444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Factoring</w:t>
            </w:r>
          </w:p>
        </w:tc>
        <w:tc>
          <w:tcPr>
            <w:tcW w:w="28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250,974</w:t>
            </w:r>
          </w:p>
        </w:tc>
        <w:tc>
          <w:tcPr>
            <w:tcW w:w="3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241,738</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1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8,590</w:t>
            </w:r>
          </w:p>
        </w:tc>
        <w:tc>
          <w:tcPr>
            <w:tcW w:w="260" w:type="dxa"/>
            <w:vAlign w:val="bottom"/>
            <w:shd w:val="clear" w:color="auto" w:fill="CCFFCC"/>
          </w:tcPr>
          <w:p>
            <w:pPr>
              <w:spacing w:after="0"/>
              <w:rPr>
                <w:sz w:val="12"/>
                <w:szCs w:val="12"/>
                <w:color w:val="auto"/>
              </w:rPr>
            </w:pPr>
          </w:p>
        </w:tc>
        <w:tc>
          <w:tcPr>
            <w:tcW w:w="11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645</w:t>
            </w:r>
          </w:p>
        </w:tc>
        <w:tc>
          <w:tcPr>
            <w:tcW w:w="2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Advances and overdrafts</w:t>
            </w:r>
          </w:p>
        </w:tc>
        <w:tc>
          <w:tcPr>
            <w:tcW w:w="2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104,495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104,495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9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14,411,159</w:t>
            </w:r>
          </w:p>
        </w:tc>
        <w:tc>
          <w:tcPr>
            <w:tcW w:w="22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3,613,978</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3,198,608</w:t>
            </w:r>
          </w:p>
        </w:tc>
        <w:tc>
          <w:tcPr>
            <w:tcW w:w="240" w:type="dxa"/>
            <w:vAlign w:val="bottom"/>
            <w:tcBorders>
              <w:right w:val="single" w:sz="8" w:color="CCFFCC"/>
            </w:tcBorders>
            <w:shd w:val="clear" w:color="auto" w:fill="CCFFCC"/>
          </w:tcPr>
          <w:p>
            <w:pPr>
              <w:spacing w:after="0"/>
              <w:rPr>
                <w:sz w:val="12"/>
                <w:szCs w:val="12"/>
                <w:color w:val="auto"/>
              </w:rPr>
            </w:pP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11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3,404,766</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11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1,805,760</w:t>
            </w:r>
          </w:p>
        </w:tc>
        <w:tc>
          <w:tcPr>
            <w:tcW w:w="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2,388,047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CCFFCC"/>
            </w:tcBorders>
            <w:shd w:val="clear" w:color="auto" w:fill="CCFFC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 of total performing loan portfolio</w:t>
            </w: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25.08%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22.20%</w:t>
            </w:r>
          </w:p>
        </w:tc>
        <w:tc>
          <w:tcPr>
            <w:tcW w:w="26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23.63%</w:t>
            </w:r>
          </w:p>
        </w:tc>
        <w:tc>
          <w:tcPr>
            <w:tcW w:w="2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12.53%</w:t>
            </w:r>
          </w:p>
        </w:tc>
        <w:tc>
          <w:tcPr>
            <w:tcW w:w="3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our loan portfolio on December 31, 2010, by currency and by the time remaining to maturity over one year:</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Maturing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Amount at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After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2010</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1 year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ind w:left="60"/>
              <w:spacing w:after="0"/>
              <w:rPr>
                <w:sz w:val="20"/>
                <w:szCs w:val="20"/>
                <w:color w:val="auto"/>
              </w:rPr>
            </w:pPr>
            <w:r>
              <w:rPr>
                <w:rFonts w:ascii="Arial" w:cs="Arial" w:eastAsia="Arial" w:hAnsi="Arial"/>
                <w:sz w:val="18"/>
                <w:szCs w:val="18"/>
                <w:i w:val="1"/>
                <w:iCs w:val="1"/>
                <w:color w:val="auto"/>
              </w:rPr>
              <w:t>(U.S. 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2020" w:type="dxa"/>
            <w:vAlign w:val="bottom"/>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Nuevo Sol-denominated</w:t>
            </w:r>
          </w:p>
        </w:tc>
        <w:tc>
          <w:tcPr>
            <w:tcW w:w="2340" w:type="dxa"/>
            <w:vAlign w:val="bottom"/>
            <w:gridSpan w:val="2"/>
          </w:tcPr>
          <w:p>
            <w:pPr>
              <w:ind w:left="2020"/>
              <w:spacing w:after="0"/>
              <w:rPr>
                <w:sz w:val="20"/>
                <w:szCs w:val="20"/>
                <w:color w:val="auto"/>
              </w:rPr>
            </w:pPr>
            <w:r>
              <w:rPr>
                <w:rFonts w:ascii="Arial" w:cs="Arial" w:eastAsia="Arial" w:hAnsi="Arial"/>
                <w:sz w:val="18"/>
                <w:szCs w:val="18"/>
                <w:color w:val="auto"/>
                <w:w w:val="85"/>
              </w:rPr>
              <w:t>US$</w:t>
            </w:r>
          </w:p>
        </w:tc>
        <w:tc>
          <w:tcPr>
            <w:tcW w:w="1180" w:type="dxa"/>
            <w:vAlign w:val="bottom"/>
          </w:tcPr>
          <w:p>
            <w:pPr>
              <w:jc w:val="right"/>
              <w:spacing w:after="0"/>
              <w:rPr>
                <w:sz w:val="20"/>
                <w:szCs w:val="20"/>
                <w:color w:val="auto"/>
              </w:rPr>
            </w:pPr>
            <w:r>
              <w:rPr>
                <w:rFonts w:ascii="Arial" w:cs="Arial" w:eastAsia="Arial" w:hAnsi="Arial"/>
                <w:sz w:val="18"/>
                <w:szCs w:val="18"/>
                <w:color w:val="auto"/>
              </w:rPr>
              <w:t>276,641</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262,550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2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2,270,333</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1,574,250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2,546,974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1,836,801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FFCC"/>
          </w:tcPr>
          <w:p>
            <w:pPr>
              <w:spacing w:after="0"/>
              <w:rPr>
                <w:sz w:val="18"/>
                <w:szCs w:val="18"/>
                <w:color w:val="auto"/>
              </w:rPr>
            </w:pPr>
          </w:p>
        </w:tc>
        <w:tc>
          <w:tcPr>
            <w:tcW w:w="2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 xml:space="preserve">Fixed Rate </w:t>
            </w:r>
            <w:r>
              <w:rPr>
                <w:rFonts w:ascii="Arial" w:cs="Arial" w:eastAsia="Arial" w:hAnsi="Arial"/>
                <w:sz w:val="18"/>
                <w:szCs w:val="18"/>
                <w:color w:val="auto"/>
              </w:rPr>
              <w:t>(2)</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2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5,138,711</w:t>
            </w:r>
          </w:p>
        </w:tc>
        <w:tc>
          <w:tcPr>
            <w:tcW w:w="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2,873,311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6,592,379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2,932,499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FFCC"/>
            </w:tcBorders>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11,731,090</w:t>
            </w:r>
          </w:p>
        </w:tc>
        <w:tc>
          <w:tcPr>
            <w:tcW w:w="2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5,805,810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Total (1)</w:t>
            </w:r>
          </w:p>
        </w:tc>
        <w:tc>
          <w:tcPr>
            <w:tcW w:w="2340" w:type="dxa"/>
            <w:vAlign w:val="bottom"/>
            <w:gridSpan w:val="2"/>
            <w:shd w:val="clear" w:color="auto" w:fill="CCFFCC"/>
          </w:tcPr>
          <w:p>
            <w:pPr>
              <w:ind w:left="2020"/>
              <w:spacing w:after="0"/>
              <w:rPr>
                <w:sz w:val="20"/>
                <w:szCs w:val="20"/>
                <w:color w:val="auto"/>
              </w:rPr>
            </w:pPr>
            <w:r>
              <w:rPr>
                <w:rFonts w:ascii="Arial" w:cs="Arial" w:eastAsia="Arial" w:hAnsi="Arial"/>
                <w:sz w:val="18"/>
                <w:szCs w:val="18"/>
                <w:color w:val="auto"/>
                <w:w w:val="85"/>
              </w:rPr>
              <w:t>US$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14,278,064</w:t>
            </w:r>
          </w:p>
        </w:tc>
        <w:tc>
          <w:tcPr>
            <w:tcW w:w="52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7,642,611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70408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40880" cy="17145"/>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Most of the financial products with fixed rates can be switched to variable rates according to market conditions as specified on the contracts with clients.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Classification of the Loan Portfolio</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classify BCP’s loan portfolio (which includes the loan portfolio of BCB) and ASHC’s loan portfolio in accordance with internal practices. According to these criteria, all loans and other credits are classified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which are exclusively targeted for the production and sale of goods and services, are made to individuals or companies with no more than S/.300,000 in total loans received from the financial system (excluding mortgage loans).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home, in each case backed by a mortgage. Mortgage loans made to directors and employees of a company are also considered residential mortgage loans. Mortgage-backed loans are considered commercial loans. The classification of the loan determines the amount to reserve should the borrower fail to make payments as they become due.</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jc w:val="both"/>
        <w:ind w:firstLine="648"/>
        <w:spacing w:after="0" w:line="272"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categories depending upon each loan’s degree of risk of nonpayment. We review our loan portfolio on a continuing basis, while the SBS reviews our portfolio as it deems necessary or prudent. In compliance with SBS guidelines, we classify our loans based upon risk of nonpayment by assessing the following factors: (i) the payment history of the particular loans, (ii) the history of our dealings with the borrower, (iii) the borrower’s management, (iv) the borrower’s operating history, (v) the borrower’s repayment capability, (vi) the borrower’s availability of funds, (vii) the status of any collateral or guarantee, (viii) the borrower’s financial statements, (iv) the general risk of the sector in which the borrower operates, (x) the borrower’s risk classification made by other financial institutions and (xi) other relevant factors. The classification of the loan determines the amount of the required loan loss provision.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loan portfolio by class at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At December 31,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w w:val="93"/>
              </w:rPr>
              <w:t>(U.S. Dollars in thousands)</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4,390,547</w:t>
            </w:r>
          </w:p>
        </w:tc>
        <w:tc>
          <w:tcPr>
            <w:tcW w:w="2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6,055,206</w:t>
            </w:r>
          </w:p>
        </w:tc>
        <w:tc>
          <w:tcPr>
            <w:tcW w:w="700" w:type="dxa"/>
            <w:vAlign w:val="bottom"/>
            <w:gridSpan w:val="2"/>
            <w:shd w:val="clear" w:color="auto" w:fill="CCFFCC"/>
          </w:tcPr>
          <w:p>
            <w:pPr>
              <w:ind w:left="24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7,808,671</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8,283,790</w:t>
            </w:r>
          </w:p>
        </w:tc>
        <w:tc>
          <w:tcPr>
            <w:tcW w:w="5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10,417,764</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506,184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874,804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1,162,399</w:t>
            </w: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1,467,793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1,715,207</w:t>
            </w: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4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980,630</w:t>
            </w:r>
          </w:p>
        </w:tc>
        <w:tc>
          <w:tcPr>
            <w:tcW w:w="2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1,253,835</w:t>
            </w:r>
          </w:p>
        </w:tc>
        <w:tc>
          <w:tcPr>
            <w:tcW w:w="2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1,485,214</w:t>
            </w:r>
          </w:p>
        </w:tc>
        <w:tc>
          <w:tcPr>
            <w:tcW w:w="4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1,753,736</w:t>
            </w:r>
          </w:p>
        </w:tc>
        <w:tc>
          <w:tcPr>
            <w:tcW w:w="1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2,145,093</w:t>
            </w:r>
          </w:p>
        </w:tc>
      </w:tr>
      <w:tr>
        <w:trPr>
          <w:trHeight w:val="230"/>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Total performing loans (1)</w:t>
            </w: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5,877,361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tcPr>
          <w:p>
            <w:pPr>
              <w:jc w:val="right"/>
              <w:spacing w:after="0"/>
              <w:rPr>
                <w:sz w:val="20"/>
                <w:szCs w:val="20"/>
                <w:color w:val="auto"/>
              </w:rPr>
            </w:pPr>
            <w:r>
              <w:rPr>
                <w:rFonts w:ascii="Arial" w:cs="Arial" w:eastAsia="Arial" w:hAnsi="Arial"/>
                <w:sz w:val="18"/>
                <w:szCs w:val="18"/>
                <w:color w:val="auto"/>
              </w:rPr>
              <w:t>8,183,845</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10,456,284</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11,505,319</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14,278,064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a range of policies and practices to mitigate credit risk. Our most traditional practice is taking security for fund advances. We implement guidelines on the acceptability of specific classes of collateral or credit risk mitigation. The principal collateral types for loans and advances are mortgages over residential properties, liens over business assets (such as premises, inventory and accounts receivable), and liens over financial instruments (such as debt securities and equities).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 term finance and lending to corporate entities are generally secured, while revolving individual credit facilities are generally unsecured. In order to minimize credit loss, we seek additional collateral as soon as impairment indicators become apparent.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 the appropriate collateral to hold as security for financial assets (other than loans) according to the nature of the instrument. Debt securities, treasury and other eligible bills are generally unsecured, with the exception of asset-backed securities and other similar instruments, which are secured by portfolios of financial instruments.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monitors the market value of collateral, requests additional collateral in accordance with the underlying agreement, and monitors the market value of the additional collateral obtained during its review of the allowance for impairment losses. Our policy is to dispose of repossessed properties in an orderly manner. We use the proceeds to reduce or repay the outstanding claim. In general, we do not use repossessed properties for our own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our loan portfolio into one of five risk categories, depending upon the degree of risk of non-payment of each debtor. These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 normal, (ii) potential problems, (iii) substandard, (iv) doubtful and (v) loss. The categories have the following characteristics: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Normal (Class A): </w:t>
      </w:r>
      <w:r>
        <w:rPr>
          <w:rFonts w:ascii="Arial" w:cs="Arial" w:eastAsia="Arial" w:hAnsi="Arial"/>
          <w:sz w:val="17"/>
          <w:szCs w:val="17"/>
          <w:color w:val="auto"/>
        </w:rPr>
        <w:t>Debtors with commercial loans in this category have complied on a timely basis with their obligations under the loan.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evaluation, there is no reason to doubt the debtor’s ability to repay interest and principal on the agreed dates, and there is no reason to believe that the status will change before the next evaluation. Before we place a loan in Class A, we must have a clear understanding of the use of the funds and the origin of the cash flows to be used by the debtor to repay the loan. Consumer loans are categorized as Class A when payments are current or up to eight days past due. Residential mortgage loans are categorized as Class A when payments are current or up to 30 days past due.</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Potential problems (Class B): </w:t>
      </w:r>
      <w:r>
        <w:rPr>
          <w:rFonts w:ascii="Arial" w:cs="Arial" w:eastAsia="Arial" w:hAnsi="Arial"/>
          <w:sz w:val="17"/>
          <w:szCs w:val="17"/>
          <w:color w:val="auto"/>
        </w:rPr>
        <w:t>Debtors with commercial loans in this category demonstrate certain deficiencies at the time of evaluation, which, if</w:t>
      </w:r>
      <w:r>
        <w:rPr>
          <w:rFonts w:ascii="Arial" w:cs="Arial" w:eastAsia="Arial" w:hAnsi="Arial"/>
          <w:sz w:val="17"/>
          <w:szCs w:val="17"/>
          <w:i w:val="1"/>
          <w:iCs w:val="1"/>
          <w:color w:val="auto"/>
        </w:rPr>
        <w:t xml:space="preserve"> </w:t>
      </w:r>
      <w:r>
        <w:rPr>
          <w:rFonts w:ascii="Arial" w:cs="Arial" w:eastAsia="Arial" w:hAnsi="Arial"/>
          <w:sz w:val="17"/>
          <w:szCs w:val="17"/>
          <w:color w:val="auto"/>
        </w:rPr>
        <w:t>not corrected in a timely manner, imply risks regarding the recovery of the loan. Common characteristics of loans or credits in this category include: (i) delays in loan payments which are promptly covered, (ii) a general lack of information required to analyze the credit, (iii) out-of-date financial information, (iv) temporary economic or financial imbalances on the part of the debtor which could affect its ability to repay the loan, (v) market conditions that could affect the economic sector in which the debtor is active. Consumer loans are categorized as Class B when payments are between nine and 30 days past due. Residential mortgage loans are categorized as Class B when payments are between 31 and 90 days past due.</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Substandard (Class C): </w:t>
      </w:r>
      <w:r>
        <w:rPr>
          <w:rFonts w:ascii="Arial" w:cs="Arial" w:eastAsia="Arial" w:hAnsi="Arial"/>
          <w:sz w:val="16"/>
          <w:szCs w:val="16"/>
          <w:color w:val="auto"/>
        </w:rPr>
        <w:t>Debtors with commercial loans in this category demonstrate serious financial weakness. They often do not have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results or available income to cover their financial obligations, and do not have reasonable short-term prospects for strengthening their financial capacity. Debtors demonstrating the same deficiencies that warrant Class B classification will warrant Class C classification if those deficiencies are such that if not corrected in the near term, they could impede the recovery of principal and interest on the loan on the agreed-upon terms. Commercial loans are classified in this category when payments are between 61 and 120 days past due. Consumer loans are categorized as Class C when payments are between 31 and 60 days past due. Residential mortgage loans are categorized as Class C when payments are between 91 and 120 days past due.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Doubtful (Class D): </w:t>
      </w:r>
      <w:r>
        <w:rPr>
          <w:rFonts w:ascii="Arial" w:cs="Arial" w:eastAsia="Arial" w:hAnsi="Arial"/>
          <w:sz w:val="17"/>
          <w:szCs w:val="17"/>
          <w:color w:val="auto"/>
        </w:rPr>
        <w:t>Debtors with commercial loans in this category demonstrate characteristics that make it doubtful that the loan will be recovered.</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recovery is doubtful, if there is a reasonable possibility that the creditworthiness of the debtor might improve in the near future, it is appropriate to categorize the loan as Class D. These loans are distinguished from Class E loans by the requirement that the debtor remain in operation, generate cash flow, and make payments on the loan, even if the payments are less than those required by the contract. Commercial loans are categorized as Class D if payments are between 121 and 365 days past due. Consumer loans are categorized as Class D when payments are between 61 and 120 days past due. Residential mortgage loans are categorized as Class D when payments are between 121 and 365 days past due.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Loss credits (Class E): </w:t>
      </w:r>
      <w:r>
        <w:rPr>
          <w:rFonts w:ascii="Arial" w:cs="Arial" w:eastAsia="Arial" w:hAnsi="Arial"/>
          <w:sz w:val="18"/>
          <w:szCs w:val="18"/>
          <w:color w:val="auto"/>
        </w:rPr>
        <w:t>Commercial loans or credits are categorized as Class E if the loans are considered unrecoverable or for any other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loans should not appear on our books as an asset based on the originally contracted terms. Commercial loans are categorized as Class E when payments are more than 365 days past due. Consumer loans are categorized as Class E when payments are more than 120 days past due. Residential mortgage loans are categorized as Class E when payments are more than 365 days past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continually review our loan portfolio to assess the completion and accuracy of the grades awarded.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loans considered impaired (those classified as substandard, doubtful or loss) are analyzed by management. Management will address the impairment in two areas, individually assessed allowances and collectively assessed allowances,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Individually Assessed Allowance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appropriate allowances for each individually significant loan or advance on an individual basis. In determining the allowance, we consider items such as (i) the sustainability of the party’s business plan, (ii) its ability to improve performance once a financial difficulty has arisen, (iii) projected receipts and the expected dividend payout should bankruptcy ensue, (iv) the availability of other financial support and the potential realized value of collateral, and (v) the timing of the expected cash flows. Impairment losses are evaluated at each reporting date, unless unforeseen circumstances require more attention.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Collectively Assessed Allowance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allowances collectively for (i) losses on loans and advances that are not individually significant (including consumer and residential mortgages) and (ii) individually significant loans and advances where there is not yet objective evidence of individual impairment (the Class A and B loans). We evaluate allowances on each reporting date, and each portfolio receives a separate review.</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collective assessment takes into account an impairment that is likely to be present in the portfolio even though there is no objective evidence of the impairment in an individual assessment. We estimate impairment losses by considering the following information: (i) historical losses on the portfolio, (ii) current economic conditions, (iii) the approximate delay between the time a loss is likely to be incurred and the time it will be identified as requiring an individually assessed impairment allowance and (iv) expected receipts and recoveries once the impairment occurs. Local management is responsible for deciding the appropriate length of time, which can extend as long as one year. The impairment allowance is then reviewed by credit management to ensure it aligns with our overall policy.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assess financial guarantees and letters of credit in the same way we assess loans.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borrower is located in a country where there is an increased risk of difficulty servicing external debt, we assess the political and economic situation, and an additional country risk provision is provided.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determine a loan is uncollectible, it is written off against the provision for loan impairment. We write off these loans after all necessary procedures are completed and the amount of the loss is determined. Subsequent recoveries of amounts previously written off decrease the amount of the provision for loan impairment in our consolidated income statements.</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The following table shows our direct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8"/>
                <w:szCs w:val="18"/>
                <w:b w:val="1"/>
                <w:bCs w:val="1"/>
                <w:color w:val="auto"/>
              </w:rPr>
              <w:t>At December 31,</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9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9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2008</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w w:val="72"/>
              </w:rPr>
              <w:t>(U.S.</w:t>
            </w:r>
          </w:p>
        </w:tc>
        <w:tc>
          <w:tcPr>
            <w:tcW w:w="324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w w:val="95"/>
              </w:rPr>
              <w:t>Dollars in thousands, except percentages)</w:t>
            </w:r>
          </w:p>
        </w:tc>
        <w:tc>
          <w:tcPr>
            <w:tcW w:w="1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Level of Risk</w:t>
            </w:r>
          </w:p>
        </w:tc>
        <w:tc>
          <w:tcPr>
            <w:tcW w:w="320" w:type="dxa"/>
            <w:vAlign w:val="bottom"/>
          </w:tcPr>
          <w:p>
            <w:pPr>
              <w:spacing w:after="0"/>
              <w:rPr>
                <w:sz w:val="17"/>
                <w:szCs w:val="17"/>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gridSpan w:val="2"/>
            <w:vMerge w:val="restart"/>
          </w:tcPr>
          <w:p>
            <w:pPr>
              <w:jc w:val="right"/>
              <w:ind w:right="495"/>
              <w:spacing w:after="0"/>
              <w:rPr>
                <w:sz w:val="20"/>
                <w:szCs w:val="20"/>
                <w:color w:val="auto"/>
              </w:rPr>
            </w:pPr>
            <w:r>
              <w:rPr>
                <w:rFonts w:ascii="Arial" w:cs="Arial" w:eastAsia="Arial" w:hAnsi="Arial"/>
                <w:sz w:val="18"/>
                <w:szCs w:val="18"/>
                <w:b w:val="1"/>
                <w:bCs w:val="1"/>
                <w:color w:val="auto"/>
              </w:rPr>
              <w:t>% Total</w:t>
            </w:r>
          </w:p>
        </w:tc>
        <w:tc>
          <w:tcPr>
            <w:tcW w:w="320" w:type="dxa"/>
            <w:vAlign w:val="bottom"/>
          </w:tcPr>
          <w:p>
            <w:pPr>
              <w:spacing w:after="0"/>
              <w:rPr>
                <w:sz w:val="17"/>
                <w:szCs w:val="17"/>
                <w:color w:val="auto"/>
              </w:rPr>
            </w:pPr>
          </w:p>
        </w:tc>
        <w:tc>
          <w:tcPr>
            <w:tcW w:w="12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1"/>
              </w:rPr>
              <w:t>Amount</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 Total</w:t>
            </w:r>
          </w:p>
        </w:tc>
        <w:tc>
          <w:tcPr>
            <w:tcW w:w="320" w:type="dxa"/>
            <w:vAlign w:val="bottom"/>
          </w:tcPr>
          <w:p>
            <w:pPr>
              <w:spacing w:after="0"/>
              <w:rPr>
                <w:sz w:val="17"/>
                <w:szCs w:val="17"/>
                <w:color w:val="auto"/>
              </w:rPr>
            </w:pPr>
          </w:p>
        </w:tc>
        <w:tc>
          <w:tcPr>
            <w:tcW w:w="13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Classification</w:t>
            </w: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 Normal</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5,296,653</w:t>
            </w:r>
          </w:p>
        </w:tc>
        <w:tc>
          <w:tcPr>
            <w:tcW w:w="1320" w:type="dxa"/>
            <w:vAlign w:val="bottom"/>
            <w:gridSpan w:val="2"/>
            <w:shd w:val="clear" w:color="auto" w:fill="CCFFCC"/>
          </w:tcPr>
          <w:p>
            <w:pPr>
              <w:jc w:val="right"/>
              <w:ind w:right="115"/>
              <w:spacing w:after="0"/>
              <w:rPr>
                <w:sz w:val="20"/>
                <w:szCs w:val="20"/>
                <w:color w:val="auto"/>
              </w:rPr>
            </w:pPr>
            <w:r>
              <w:rPr>
                <w:rFonts w:ascii="Arial" w:cs="Arial" w:eastAsia="Arial" w:hAnsi="Arial"/>
                <w:sz w:val="18"/>
                <w:szCs w:val="18"/>
                <w:color w:val="auto"/>
              </w:rPr>
              <w:t>90.1%</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7,602,347</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92.9%</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3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9,991,559</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B: Potential Problems</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337,497</w:t>
            </w:r>
          </w:p>
        </w:tc>
        <w:tc>
          <w:tcPr>
            <w:tcW w:w="1320" w:type="dxa"/>
            <w:vAlign w:val="bottom"/>
            <w:gridSpan w:val="2"/>
          </w:tcPr>
          <w:p>
            <w:pPr>
              <w:jc w:val="right"/>
              <w:ind w:right="115"/>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371,119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264,890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 Substandard</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62,192</w:t>
            </w:r>
          </w:p>
        </w:tc>
        <w:tc>
          <w:tcPr>
            <w:tcW w:w="1320" w:type="dxa"/>
            <w:vAlign w:val="bottom"/>
            <w:gridSpan w:val="2"/>
            <w:shd w:val="clear" w:color="auto" w:fill="CCFFCC"/>
          </w:tcPr>
          <w:p>
            <w:pPr>
              <w:jc w:val="right"/>
              <w:ind w:right="115"/>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71,340</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3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70,268</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D: Doubtful</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122,215</w:t>
            </w:r>
          </w:p>
        </w:tc>
        <w:tc>
          <w:tcPr>
            <w:tcW w:w="1320" w:type="dxa"/>
            <w:vAlign w:val="bottom"/>
            <w:gridSpan w:val="2"/>
          </w:tcPr>
          <w:p>
            <w:pPr>
              <w:jc w:val="right"/>
              <w:ind w:right="115"/>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88,540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79,394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 Loss</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58,804</w:t>
            </w:r>
          </w:p>
        </w:tc>
        <w:tc>
          <w:tcPr>
            <w:tcW w:w="1320" w:type="dxa"/>
            <w:vAlign w:val="bottom"/>
            <w:gridSpan w:val="2"/>
            <w:shd w:val="clear" w:color="auto" w:fill="CCFFCC"/>
          </w:tcPr>
          <w:p>
            <w:pPr>
              <w:jc w:val="right"/>
              <w:ind w:right="115"/>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50,499</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3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50,173</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Total (1)</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5,877,361</w:t>
            </w:r>
          </w:p>
        </w:tc>
        <w:tc>
          <w:tcPr>
            <w:tcW w:w="1320" w:type="dxa"/>
            <w:vAlign w:val="bottom"/>
            <w:gridSpan w:val="2"/>
          </w:tcPr>
          <w:p>
            <w:pPr>
              <w:jc w:val="right"/>
              <w:ind w:right="115"/>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8,183,845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10,456,284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243,211</w:t>
            </w:r>
          </w:p>
        </w:tc>
        <w:tc>
          <w:tcPr>
            <w:tcW w:w="1320" w:type="dxa"/>
            <w:vAlign w:val="bottom"/>
            <w:gridSpan w:val="2"/>
            <w:shd w:val="clear" w:color="auto" w:fill="CCFFCC"/>
          </w:tcPr>
          <w:p>
            <w:pPr>
              <w:jc w:val="right"/>
              <w:ind w:right="115"/>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2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210,379</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w w:val="85"/>
              </w:rPr>
              <w:t>US$</w:t>
            </w:r>
          </w:p>
        </w:tc>
        <w:tc>
          <w:tcPr>
            <w:tcW w:w="13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199,835</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870"/>
              <w:spacing w:after="0"/>
              <w:rPr>
                <w:sz w:val="20"/>
                <w:szCs w:val="20"/>
                <w:color w:val="auto"/>
              </w:rPr>
            </w:pPr>
            <w:r>
              <w:rPr>
                <w:rFonts w:ascii="Arial" w:cs="Arial" w:eastAsia="Arial" w:hAnsi="Arial"/>
                <w:sz w:val="18"/>
                <w:szCs w:val="18"/>
                <w:b w:val="1"/>
                <w:bCs w:val="1"/>
                <w:color w:val="auto"/>
              </w:rPr>
              <w:t>At December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7"/>
          </w:tcPr>
          <w:p>
            <w:pPr>
              <w:jc w:val="right"/>
              <w:ind w:right="670"/>
              <w:spacing w:after="0"/>
              <w:rPr>
                <w:sz w:val="20"/>
                <w:szCs w:val="20"/>
                <w:color w:val="auto"/>
              </w:rPr>
            </w:pPr>
            <w:r>
              <w:rPr>
                <w:rFonts w:ascii="Arial" w:cs="Arial" w:eastAsia="Arial" w:hAnsi="Arial"/>
                <w:sz w:val="18"/>
                <w:szCs w:val="18"/>
                <w:i w:val="1"/>
                <w:iCs w:val="1"/>
                <w:color w:val="auto"/>
                <w:w w:val="99"/>
              </w:rPr>
              <w:t>(U.S. Dollars in thousands, except percentages)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Level of Risk</w:t>
            </w:r>
          </w:p>
        </w:tc>
        <w:tc>
          <w:tcPr>
            <w:tcW w:w="1440" w:type="dxa"/>
            <w:vAlign w:val="bottom"/>
          </w:tcPr>
          <w:p>
            <w:pPr>
              <w:spacing w:after="0"/>
              <w:rPr>
                <w:sz w:val="17"/>
                <w:szCs w:val="17"/>
                <w:color w:val="auto"/>
              </w:rPr>
            </w:pPr>
          </w:p>
        </w:tc>
        <w:tc>
          <w:tcPr>
            <w:tcW w:w="1420" w:type="dxa"/>
            <w:vAlign w:val="bottom"/>
            <w:gridSpan w:val="2"/>
            <w:vMerge w:val="restart"/>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 Total</w:t>
            </w:r>
          </w:p>
        </w:tc>
        <w:tc>
          <w:tcPr>
            <w:tcW w:w="100" w:type="dxa"/>
            <w:vAlign w:val="bottom"/>
          </w:tcPr>
          <w:p>
            <w:pPr>
              <w:spacing w:after="0"/>
              <w:rPr>
                <w:sz w:val="17"/>
                <w:szCs w:val="17"/>
                <w:color w:val="auto"/>
              </w:rPr>
            </w:pPr>
          </w:p>
        </w:tc>
        <w:tc>
          <w:tcPr>
            <w:tcW w:w="1420" w:type="dxa"/>
            <w:vAlign w:val="bottom"/>
            <w:gridSpan w:val="2"/>
            <w:vMerge w:val="restart"/>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14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 Normal</w:t>
            </w:r>
          </w:p>
        </w:tc>
        <w:tc>
          <w:tcPr>
            <w:tcW w:w="1780" w:type="dxa"/>
            <w:vAlign w:val="bottom"/>
            <w:gridSpan w:val="2"/>
            <w:shd w:val="clear" w:color="auto" w:fill="CCFFCC"/>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0"/>
              </w:rPr>
              <w:t>10,717,658</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93.2%</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0"/>
              </w:rPr>
              <w:t>13,564,435</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B: Potential Problems</w:t>
            </w: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431,356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313,148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 Substandard</w:t>
            </w:r>
          </w:p>
        </w:tc>
        <w:tc>
          <w:tcPr>
            <w:tcW w:w="1780" w:type="dxa"/>
            <w:vAlign w:val="bottom"/>
            <w:gridSpan w:val="2"/>
            <w:shd w:val="clear" w:color="auto" w:fill="CCFFCC"/>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115,629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128,445</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D: Doubtful</w:t>
            </w: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139,389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121,342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 Loss</w:t>
            </w:r>
          </w:p>
        </w:tc>
        <w:tc>
          <w:tcPr>
            <w:tcW w:w="1780" w:type="dxa"/>
            <w:vAlign w:val="bottom"/>
            <w:gridSpan w:val="2"/>
            <w:shd w:val="clear" w:color="auto" w:fill="CCFFCC"/>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101,287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0.9%</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150,691</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40"/>
              <w:spacing w:after="0"/>
              <w:rPr>
                <w:sz w:val="20"/>
                <w:szCs w:val="20"/>
                <w:color w:val="auto"/>
              </w:rPr>
            </w:pPr>
            <w:r>
              <w:rPr>
                <w:rFonts w:ascii="Arial" w:cs="Arial" w:eastAsia="Arial" w:hAnsi="Arial"/>
                <w:sz w:val="18"/>
                <w:szCs w:val="18"/>
                <w:color w:val="auto"/>
              </w:rPr>
              <w:t>Total (1)</w:t>
            </w: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0"/>
              </w:rPr>
              <w:t>11,505,319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0"/>
              </w:rPr>
              <w:t>14,278,064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1780" w:type="dxa"/>
            <w:vAlign w:val="bottom"/>
            <w:gridSpan w:val="2"/>
            <w:shd w:val="clear" w:color="auto" w:fill="CCFFCC"/>
          </w:tcPr>
          <w:p>
            <w:pPr>
              <w:ind w:left="1420"/>
              <w:spacing w:after="0"/>
              <w:rPr>
                <w:sz w:val="20"/>
                <w:szCs w:val="20"/>
                <w:color w:val="auto"/>
              </w:rPr>
            </w:pPr>
            <w:r>
              <w:rPr>
                <w:rFonts w:ascii="Arial" w:cs="Arial" w:eastAsia="Arial" w:hAnsi="Arial"/>
                <w:sz w:val="18"/>
                <w:szCs w:val="18"/>
                <w:color w:val="auto"/>
                <w:w w:val="96"/>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356,305</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0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400,481</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260" w:hanging="1292"/>
        <w:spacing w:after="0" w:line="277"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Net of unearned interest – The unearned interest from impaired classifications (C+D+E) amounts approximately to US$317,000 in 2006, US$201,000 in 2007, US$250,000 in 2008, US$44,000 in 2009 and US$159,000 in 2010.</w:t>
      </w:r>
    </w:p>
    <w:p>
      <w:pPr>
        <w:spacing w:after="0" w:line="19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All of our Class E loans and substantially all of our Class D loans are past due. Class C loans, although generally not past due, have demonstrated credit deterioration such that management has serious doubts as to the ability of the borrower to comply with the loan repayment terms. The majority of our Class C loans are to companies in the Peruvian manufacturing sector and, to a lesser extent, the agricultural sector. Our manufacturing sector loans are primarily secured by warrants and liens on goods or by mortgages, and our agricultural loans tend to be secured by trade bills and marketable securities. The Class C loans reflect the financial weakness of the individual borrower rather than any trend in the Peruvian manufacturing or agricultural industries in general.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consider loans to be past due depending on their type. In accordance with SBS Resolution N°11356- 2008, BCP considers loans past due for corporate, large business and medium business loans after 15 days; for small and micro business loans after 30 days; and for consumer, mortgage and leasing loans after 90 days. On January 1, 2001, the SBS issued accounting rules that require Peruvian banks to consider overdrafts past due after 30 days. ASHC considers all overdue loans past due, except for consumer loans, which are considered past due when the scheduled principal and/or interest payments are overdue for more than 90 days. BCB considers loans past due after 30 days. For IFRS 7 disclosure requirements on past-due loans,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29.1 to the Credicorp Consolidated Financial Statements.</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is suspended when the collection of loans is doubtful, such as when overdue by more than 90 days. When a borrower or securities issuer defaults earlier than 90 days, the income is excluded from interest income until it is received. Uncollected income on these loans is applied against income. When management determines that the debtor’s financial condition has improved, we continue recording interest on an accrual basis. Therefore, we do not accrue interest on past-due loans, but interest on past-due loans is recognized only when and to the extent received.</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past five years, we have recognized interest income on these loans of US$4.8 million in 2006, US$3.6 million in 2007, US$5.2 million in 2008, US$7.2 million in 2009 and US$14.2 million in 2010. With the exception of discounted notes and overdrafts, accrued but unpaid interest is reversed for past-due loans.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The following table sets forth the repayment status of our loan portfolio as of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2007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8"/>
                <w:szCs w:val="18"/>
                <w:i w:val="1"/>
                <w:iCs w:val="1"/>
                <w:color w:val="auto"/>
                <w:w w:val="92"/>
              </w:rPr>
              <w:t>(U.S. Dollars in thousands, except percentages)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5,800,591</w:t>
            </w: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8,122,357</w:t>
            </w:r>
          </w:p>
        </w:tc>
        <w:tc>
          <w:tcPr>
            <w:tcW w:w="240" w:type="dxa"/>
            <w:vAlign w:val="bottom"/>
            <w:shd w:val="clear" w:color="auto" w:fill="CCFFCC"/>
          </w:tcPr>
          <w:p>
            <w:pPr>
              <w:spacing w:after="0"/>
              <w:rPr>
                <w:sz w:val="18"/>
                <w:szCs w:val="18"/>
                <w:color w:val="auto"/>
              </w:rPr>
            </w:pP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9"/>
              </w:rPr>
              <w:t>10,373,417</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9"/>
              </w:rPr>
              <w:t>11,320,752</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14,068,156</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Past due: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Overdue 16 - 119 days</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20,655</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20,825</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34,955</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70,602</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68,601</w:t>
            </w: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Overdue 120 days or more</w:t>
            </w:r>
          </w:p>
        </w:tc>
        <w:tc>
          <w:tcPr>
            <w:tcW w:w="4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56,115</w:t>
            </w:r>
          </w:p>
        </w:tc>
        <w:tc>
          <w:tcPr>
            <w:tcW w:w="4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40,663</w:t>
            </w:r>
          </w:p>
        </w:tc>
        <w:tc>
          <w:tcPr>
            <w:tcW w:w="4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47,912</w:t>
            </w:r>
          </w:p>
        </w:tc>
        <w:tc>
          <w:tcPr>
            <w:tcW w:w="4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113,965</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141,307</w:t>
            </w: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76,770</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61,488</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82,867</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184,567</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209,908</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loans</w:t>
            </w: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5,877,361</w:t>
            </w:r>
          </w:p>
        </w:tc>
        <w:tc>
          <w:tcPr>
            <w:tcW w:w="24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8,183,845</w:t>
            </w:r>
          </w:p>
        </w:tc>
        <w:tc>
          <w:tcPr>
            <w:tcW w:w="24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10,456,284</w:t>
            </w: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11,505,319</w:t>
            </w: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14,278,064</w:t>
            </w:r>
          </w:p>
        </w:tc>
      </w:tr>
      <w:tr>
        <w:trPr>
          <w:trHeight w:val="216"/>
        </w:trPr>
        <w:tc>
          <w:tcPr>
            <w:tcW w:w="2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 as % of total loans</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0.75%</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0.79%</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1.47%</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With respect to consumer, mortgage and leasing loans, BCP (in accordance with SBS regulations) only recognizes payments as past-due installments if the loan is less than 90 days past due. The entire amount of the loans is considered past due if any amount is past due more than 90 days. For IFRS 7 disclosure requirements on past-due loans,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29.1 to the Credicorp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Past-Due Loan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our past-due loan portfolio by the type of loan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2006</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2008</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5"/>
                <w:szCs w:val="15"/>
                <w:i w:val="1"/>
                <w:iCs w:val="1"/>
                <w:color w:val="auto"/>
                <w:w w:val="70"/>
              </w:rPr>
              <w:t>(U.S.</w:t>
            </w: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i w:val="1"/>
                <w:iCs w:val="1"/>
                <w:color w:val="auto"/>
              </w:rPr>
              <w:t>Dollars in thousands)</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w:t>
            </w: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Loans</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57,345</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48,088</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65,947</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153,112</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183,058</w:t>
            </w: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596</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1,242</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2,151</w:t>
            </w: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2,906</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Advances and overdrafts in demand deposits</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1,844</w:t>
            </w:r>
          </w:p>
        </w:tc>
        <w:tc>
          <w:tcPr>
            <w:tcW w:w="400" w:type="dxa"/>
            <w:vAlign w:val="bottom"/>
          </w:tcPr>
          <w:p>
            <w:pPr>
              <w:spacing w:after="0"/>
              <w:rPr>
                <w:sz w:val="18"/>
                <w:szCs w:val="18"/>
                <w:color w:val="auto"/>
              </w:rPr>
            </w:pP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2,112</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4,015</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Leasing transactions</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5,237</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3,468</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9,653</w:t>
            </w: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1,443</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Refinanced loans</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11,748</w:t>
            </w:r>
          </w:p>
        </w:tc>
        <w:tc>
          <w:tcPr>
            <w:tcW w:w="400" w:type="dxa"/>
            <w:vAlign w:val="bottom"/>
          </w:tcPr>
          <w:p>
            <w:pPr>
              <w:spacing w:after="0"/>
              <w:rPr>
                <w:sz w:val="18"/>
                <w:szCs w:val="18"/>
                <w:color w:val="auto"/>
              </w:rPr>
            </w:pP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10,098</w:t>
            </w:r>
          </w:p>
        </w:tc>
        <w:tc>
          <w:tcPr>
            <w:tcW w:w="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15,636</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18,784</w:t>
            </w: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Total past-due portfolio</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76,770</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61,488</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82,867</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184,567</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209,908</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Reserves for loan losses (1)</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210,586</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229,700</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248,063</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376,049</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448,597</w:t>
            </w: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Total past-due portfolio net of reserves</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(133,816)</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(168,212)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(165,196)</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(191,482)</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(238,689)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Includes reserves for indirect credits (</w:t>
      </w:r>
      <w:r>
        <w:rPr>
          <w:rFonts w:ascii="Arial" w:cs="Arial" w:eastAsia="Arial" w:hAnsi="Arial"/>
          <w:sz w:val="18"/>
          <w:szCs w:val="18"/>
          <w:i w:val="1"/>
          <w:iCs w:val="1"/>
          <w:color w:val="auto"/>
        </w:rPr>
        <w:t>see</w:t>
      </w:r>
      <w:r>
        <w:rPr>
          <w:rFonts w:ascii="Arial" w:cs="Arial" w:eastAsia="Arial" w:hAnsi="Arial"/>
          <w:sz w:val="18"/>
          <w:szCs w:val="18"/>
          <w:color w:val="auto"/>
        </w:rPr>
        <w:t xml:space="preserve"> “—Loan Loss Reserves”).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on past-due loans and loans in legal collection when the loans are collected. The interest income that would have been recorded for these credits in accordance with the terms of the original contract is approximately US$38.5 million and US$27.9 million as of December 31, 2010 and 2009, respectively.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Loss Reserves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reserves for loan losses and movements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center"/>
              <w:ind w:left="350"/>
              <w:spacing w:after="0"/>
              <w:rPr>
                <w:sz w:val="20"/>
                <w:szCs w:val="20"/>
                <w:color w:val="auto"/>
              </w:rPr>
            </w:pPr>
            <w:r>
              <w:rPr>
                <w:rFonts w:ascii="Arial" w:cs="Arial" w:eastAsia="Arial" w:hAnsi="Arial"/>
                <w:sz w:val="18"/>
                <w:szCs w:val="18"/>
                <w:b w:val="1"/>
                <w:bCs w:val="1"/>
                <w:color w:val="auto"/>
                <w:w w:val="88"/>
              </w:rPr>
              <w:t>Year ended December 31,</w:t>
            </w: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2006</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2009</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8"/>
          </w:tcPr>
          <w:p>
            <w:pPr>
              <w:jc w:val="center"/>
              <w:ind w:left="350"/>
              <w:spacing w:after="0"/>
              <w:rPr>
                <w:sz w:val="20"/>
                <w:szCs w:val="20"/>
                <w:color w:val="auto"/>
              </w:rPr>
            </w:pPr>
            <w:r>
              <w:rPr>
                <w:rFonts w:ascii="Arial" w:cs="Arial" w:eastAsia="Arial" w:hAnsi="Arial"/>
                <w:sz w:val="18"/>
                <w:szCs w:val="18"/>
                <w:i w:val="1"/>
                <w:iCs w:val="1"/>
                <w:color w:val="auto"/>
                <w:w w:val="92"/>
              </w:rPr>
              <w:t>(U.S. Dollars in thousands)</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at the beginning of the year</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218,636</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210,586</w:t>
            </w:r>
          </w:p>
        </w:tc>
        <w:tc>
          <w:tcPr>
            <w:tcW w:w="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229,700</w:t>
            </w:r>
          </w:p>
        </w:tc>
        <w:tc>
          <w:tcPr>
            <w:tcW w:w="4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w w:val="91"/>
              </w:rPr>
              <w:t>US$</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248,063</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376,049</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Additional provisions (reversals)</w:t>
            </w:r>
          </w:p>
        </w:tc>
        <w:tc>
          <w:tcPr>
            <w:tcW w:w="3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(4,243)</w:t>
            </w: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28,439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48,760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163,392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174,682</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20,905</w:t>
            </w: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44,284</w:t>
            </w: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34,084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31,279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23,928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34,605</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(49,859)</w:t>
            </w:r>
          </w:p>
        </w:tc>
        <w:tc>
          <w:tcPr>
            <w:tcW w:w="3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(47,266)</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(59,308)</w:t>
            </w:r>
          </w:p>
        </w:tc>
        <w:tc>
          <w:tcPr>
            <w:tcW w:w="1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(87,927)</w:t>
            </w: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(142,736)</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Monetary correction and other</w:t>
            </w: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1,768</w:t>
            </w:r>
          </w:p>
        </w:tc>
        <w:tc>
          <w:tcPr>
            <w:tcW w:w="3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(2,368)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5,997</w:t>
            </w:r>
          </w:p>
        </w:tc>
      </w:tr>
      <w:tr>
        <w:trPr>
          <w:trHeight w:val="216"/>
        </w:trPr>
        <w:tc>
          <w:tcPr>
            <w:tcW w:w="44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reserves for loan losses at the end of the year</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210,586</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229,700</w:t>
            </w:r>
          </w:p>
        </w:tc>
        <w:tc>
          <w:tcPr>
            <w:tcW w:w="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248,063</w:t>
            </w:r>
          </w:p>
        </w:tc>
        <w:tc>
          <w:tcPr>
            <w:tcW w:w="4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w w:val="91"/>
              </w:rPr>
              <w:t>US$</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376,049</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448,597</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a discussion of the risk elements in the loan portfolio and the factors considered in determining the amount of specific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 Classification of the Loan Portfolio.” Also, as required by IFRS 7, the balance of the reserve for loan losses for the years 2008, 2009 and 2010 are included in Note 6(d) to the Credicorp Consolidated Financial Statements.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Our reserves for loan losses, as of December 31, 2010, included US$415.7 million for credit losses and US$32.9 million for indirect or contingent credit losses (US$354.4 million and US$21.7 million as of December 31, 2009, respectively). Our reserves for indirect credit losses are included in the “Other liabilities” caption of our consolidated balance sheet.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6(d) and 11(a) to the Credicorp Consolidated Financial Statements.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jc w:val="both"/>
        <w:ind w:firstLine="648"/>
        <w:spacing w:after="0" w:line="277" w:lineRule="auto"/>
        <w:rPr>
          <w:sz w:val="20"/>
          <w:szCs w:val="20"/>
          <w:color w:val="auto"/>
        </w:rPr>
      </w:pPr>
      <w:r>
        <w:rPr>
          <w:rFonts w:ascii="Arial" w:cs="Arial" w:eastAsia="Arial" w:hAnsi="Arial"/>
          <w:sz w:val="18"/>
          <w:szCs w:val="18"/>
          <w:color w:val="auto"/>
        </w:rPr>
        <w:t>The charge-off process is performed with prior approval of our board of directors and the SBS. Potential charge-offs are considered by the board of directors and the SBS on a case-by-case basis.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some of our fully provisioned past-due loans to wholly-owned subsidiaries (Soluciónes en Procesamiento) for a nominal amount with the same effect as if the loans had been charged off. Accordingly, we believe that our past-due loan amounts are not materially different from what they would be if we were permitted to charge-off loans prior to demonstrating the absolute non-collectability of the loan. BCP also sells employees’ mortgage loans to its subsidiary Financiera de Crédito Solución.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our reserves for loan losses attributable to commercial, consumer and residential mortgage loans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Note 6(d) to the Credicorp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At December 31,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2006</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2009</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center"/>
              <w:ind w:left="350"/>
              <w:spacing w:after="0"/>
              <w:rPr>
                <w:sz w:val="20"/>
                <w:szCs w:val="20"/>
                <w:color w:val="auto"/>
              </w:rPr>
            </w:pPr>
            <w:r>
              <w:rPr>
                <w:rFonts w:ascii="Arial" w:cs="Arial" w:eastAsia="Arial" w:hAnsi="Arial"/>
                <w:sz w:val="18"/>
                <w:szCs w:val="18"/>
                <w:i w:val="1"/>
                <w:iCs w:val="1"/>
                <w:color w:val="auto"/>
                <w:w w:val="92"/>
              </w:rPr>
              <w:t>(U.S. Dollars in thousands)</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183,374</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184,584</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ind w:left="20"/>
              <w:spacing w:after="0"/>
              <w:rPr>
                <w:sz w:val="20"/>
                <w:szCs w:val="20"/>
                <w:color w:val="auto"/>
              </w:rPr>
            </w:pPr>
            <w:r>
              <w:rPr>
                <w:rFonts w:ascii="Arial" w:cs="Arial" w:eastAsia="Arial" w:hAnsi="Arial"/>
                <w:sz w:val="18"/>
                <w:szCs w:val="18"/>
                <w:color w:val="auto"/>
                <w:w w:val="91"/>
              </w:rPr>
              <w:t>US$</w:t>
            </w: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161,170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243,796</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289,564</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1"/>
              </w:rPr>
              <w:t>Consumer loans</w:t>
            </w: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17,959</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30,662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56,061</w:t>
            </w: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90,782</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106,709</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9,253</w:t>
            </w: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14,454</w:t>
            </w:r>
          </w:p>
        </w:tc>
        <w:tc>
          <w:tcPr>
            <w:tcW w:w="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30,832</w:t>
            </w:r>
          </w:p>
        </w:tc>
        <w:tc>
          <w:tcPr>
            <w:tcW w:w="3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41,471</w:t>
            </w: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52,324</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Total reserves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210,586</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229,700</w:t>
            </w:r>
          </w:p>
        </w:tc>
        <w:tc>
          <w:tcPr>
            <w:tcW w:w="2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w w:val="91"/>
              </w:rPr>
              <w:t>US$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248,063</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376,049</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448,597</w:t>
            </w:r>
          </w:p>
        </w:tc>
      </w:tr>
      <w:tr>
        <w:trPr>
          <w:trHeight w:val="418"/>
        </w:trPr>
        <w:tc>
          <w:tcPr>
            <w:tcW w:w="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(iv)</w:t>
            </w:r>
          </w:p>
        </w:tc>
        <w:tc>
          <w:tcPr>
            <w:tcW w:w="3220" w:type="dxa"/>
            <w:vAlign w:val="bottom"/>
          </w:tcPr>
          <w:p>
            <w:pPr>
              <w:ind w:left="60"/>
              <w:spacing w:after="0"/>
              <w:rPr>
                <w:sz w:val="20"/>
                <w:szCs w:val="20"/>
                <w:color w:val="auto"/>
              </w:rPr>
            </w:pPr>
            <w:r>
              <w:rPr>
                <w:rFonts w:ascii="Arial" w:cs="Arial" w:eastAsia="Arial" w:hAnsi="Arial"/>
                <w:sz w:val="18"/>
                <w:szCs w:val="18"/>
                <w:b w:val="1"/>
                <w:bCs w:val="1"/>
                <w:color w:val="auto"/>
              </w:rPr>
              <w:t>Deposits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deposit base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2"/>
              </w:rPr>
              <w:t>At December 31,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1,735,869</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1,944,404</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2,330,559</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3,136,408</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2,612,342</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3,500,833</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tcPr>
          <w:p>
            <w:pPr>
              <w:jc w:val="center"/>
              <w:ind w:right="57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4,872,277</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4,556,746</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5,831,392</w:t>
            </w: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1,193,639</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1,505,994</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2,050,136</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1,775,100</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2,033,671</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2,194,614</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tcPr>
          <w:p>
            <w:pPr>
              <w:jc w:val="center"/>
              <w:ind w:right="57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2,968,739</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3,539,665</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4,244,750</w:t>
            </w: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jc w:val="center"/>
              <w:ind w:right="5710"/>
              <w:spacing w:after="0"/>
              <w:rPr>
                <w:sz w:val="20"/>
                <w:szCs w:val="20"/>
                <w:color w:val="auto"/>
              </w:rPr>
            </w:pPr>
            <w:r>
              <w:rPr>
                <w:rFonts w:ascii="Arial" w:cs="Arial" w:eastAsia="Arial" w:hAnsi="Arial"/>
                <w:sz w:val="18"/>
                <w:szCs w:val="18"/>
                <w:color w:val="auto"/>
                <w:w w:val="88"/>
              </w:rPr>
              <w:t>Time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1,768,893</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1,662,941</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3,230,374</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3,087,219</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3,088,920</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3,234,395</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tcPr>
          <w:p>
            <w:pPr>
              <w:jc w:val="center"/>
              <w:ind w:right="57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4,856,112</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4,751,861</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6,464,769</w:t>
            </w: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140,013</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114,401</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163,681</w:t>
            </w: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229,716</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256,761</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421,240</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810,171</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812,745</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891,882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tcPr>
          <w:p>
            <w:pPr>
              <w:jc w:val="center"/>
              <w:ind w:right="57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1,039,887</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1,069,506</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1,313,122</w:t>
            </w: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jc w:val="center"/>
              <w:ind w:right="5710"/>
              <w:spacing w:after="0"/>
              <w:rPr>
                <w:sz w:val="20"/>
                <w:szCs w:val="20"/>
                <w:color w:val="auto"/>
              </w:rPr>
            </w:pPr>
            <w:r>
              <w:rPr>
                <w:rFonts w:ascii="Arial" w:cs="Arial" w:eastAsia="Arial" w:hAnsi="Arial"/>
                <w:sz w:val="18"/>
                <w:szCs w:val="18"/>
                <w:color w:val="auto"/>
                <w:w w:val="88"/>
              </w:rPr>
              <w:t>Total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4,928,117</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5,370,100</w:t>
            </w:r>
          </w:p>
        </w:tc>
        <w:tc>
          <w:tcPr>
            <w:tcW w:w="10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8,032,309</w:t>
            </w: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8,948,911</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8,662,079</w:t>
            </w: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9,985,406</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tcPr>
          <w:p>
            <w:pPr>
              <w:jc w:val="center"/>
              <w:ind w:right="57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13,877,028</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14,032,179</w:t>
            </w:r>
          </w:p>
        </w:tc>
        <w:tc>
          <w:tcPr>
            <w:tcW w:w="520" w:type="dxa"/>
            <w:vAlign w:val="bottom"/>
            <w:gridSpan w:val="2"/>
          </w:tcPr>
          <w:p>
            <w:pPr>
              <w:ind w:left="12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18,017,714</w:t>
            </w: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6"/>
          <w:szCs w:val="16"/>
          <w:color w:val="auto"/>
        </w:rPr>
        <w:t>The following table sets forth information regarding the maturity of our time deposits in denominations of US$100,000 or more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b w:val="1"/>
                <w:bCs w:val="1"/>
                <w:color w:val="auto"/>
              </w:rPr>
              <w:t>At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8"/>
          </w:tcPr>
          <w:p>
            <w:pPr>
              <w:ind w:left="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5"/>
          </w:tcPr>
          <w:p>
            <w:pPr>
              <w:jc w:val="center"/>
              <w:spacing w:after="0" w:line="201" w:lineRule="exact"/>
              <w:rPr>
                <w:sz w:val="20"/>
                <w:szCs w:val="20"/>
                <w:color w:val="auto"/>
              </w:rPr>
            </w:pPr>
            <w:r>
              <w:rPr>
                <w:rFonts w:ascii="Arial" w:cs="Arial" w:eastAsia="Arial" w:hAnsi="Arial"/>
                <w:sz w:val="18"/>
                <w:szCs w:val="18"/>
                <w:i w:val="1"/>
                <w:iCs w:val="1"/>
                <w:color w:val="auto"/>
                <w:w w:val="94"/>
              </w:rPr>
              <w:t>(U.S. Dollars</w:t>
            </w:r>
          </w:p>
        </w:tc>
        <w:tc>
          <w:tcPr>
            <w:tcW w:w="8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80" w:type="dxa"/>
            <w:vAlign w:val="bottom"/>
            <w:gridSpan w:val="8"/>
          </w:tcPr>
          <w:p>
            <w:pPr>
              <w:jc w:val="center"/>
              <w:ind w:right="1120"/>
              <w:spacing w:after="0"/>
              <w:rPr>
                <w:sz w:val="20"/>
                <w:szCs w:val="20"/>
                <w:color w:val="auto"/>
              </w:rPr>
            </w:pPr>
            <w:r>
              <w:rPr>
                <w:rFonts w:ascii="Arial" w:cs="Arial" w:eastAsia="Arial" w:hAnsi="Arial"/>
                <w:sz w:val="18"/>
                <w:szCs w:val="18"/>
                <w:i w:val="1"/>
                <w:iCs w:val="1"/>
                <w:color w:val="auto"/>
                <w:w w:val="90"/>
              </w:rPr>
              <w:t>in thousands)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62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Maturing within 30 days</w:t>
            </w:r>
          </w:p>
        </w:tc>
        <w:tc>
          <w:tcPr>
            <w:tcW w:w="6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7,113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w w:val="84"/>
              </w:rPr>
              <w:t>2,444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Maturing after 60 but within 90 days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2,431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60" w:type="dxa"/>
            <w:vAlign w:val="bottom"/>
            <w:gridSpan w:val="5"/>
            <w:shd w:val="clear" w:color="auto" w:fill="CCFFCC"/>
          </w:tcPr>
          <w:p>
            <w:pPr>
              <w:jc w:val="right"/>
              <w:ind w:right="140"/>
              <w:spacing w:after="0"/>
              <w:rPr>
                <w:sz w:val="20"/>
                <w:szCs w:val="20"/>
                <w:color w:val="auto"/>
              </w:rPr>
            </w:pPr>
            <w:r>
              <w:rPr>
                <w:rFonts w:ascii="Arial" w:cs="Arial" w:eastAsia="Arial" w:hAnsi="Arial"/>
                <w:sz w:val="18"/>
                <w:szCs w:val="18"/>
                <w:color w:val="auto"/>
              </w:rPr>
              <w:t>39,115</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certificates of deposits</w:t>
            </w:r>
          </w:p>
        </w:tc>
        <w:tc>
          <w:tcPr>
            <w:tcW w:w="6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rPr>
              <w:t>51,103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Maturing within 30 days</w:t>
            </w:r>
          </w:p>
        </w:tc>
        <w:tc>
          <w:tcPr>
            <w:tcW w:w="6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w w:val="87"/>
              </w:rPr>
              <w:t>4,020,584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60" w:type="dxa"/>
            <w:vAlign w:val="bottom"/>
            <w:gridSpan w:val="5"/>
            <w:shd w:val="clear" w:color="auto" w:fill="CCFFCC"/>
          </w:tcPr>
          <w:p>
            <w:pPr>
              <w:jc w:val="right"/>
              <w:ind w:right="140"/>
              <w:spacing w:after="0"/>
              <w:rPr>
                <w:sz w:val="20"/>
                <w:szCs w:val="20"/>
                <w:color w:val="auto"/>
              </w:rPr>
            </w:pPr>
            <w:r>
              <w:rPr>
                <w:rFonts w:ascii="Arial" w:cs="Arial" w:eastAsia="Arial" w:hAnsi="Arial"/>
                <w:sz w:val="18"/>
                <w:szCs w:val="18"/>
                <w:color w:val="auto"/>
              </w:rPr>
              <w:t>594,266</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Maturing after 60 but within 90 days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rPr>
              <w:t>281,121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60" w:type="dxa"/>
            <w:vAlign w:val="bottom"/>
            <w:gridSpan w:val="5"/>
            <w:shd w:val="clear" w:color="auto" w:fill="CCFFCC"/>
          </w:tcPr>
          <w:p>
            <w:pPr>
              <w:jc w:val="right"/>
              <w:ind w:right="140"/>
              <w:spacing w:after="0"/>
              <w:rPr>
                <w:sz w:val="20"/>
                <w:szCs w:val="20"/>
                <w:color w:val="auto"/>
              </w:rPr>
            </w:pPr>
            <w:r>
              <w:rPr>
                <w:rFonts w:ascii="Arial" w:cs="Arial" w:eastAsia="Arial" w:hAnsi="Arial"/>
                <w:sz w:val="18"/>
                <w:szCs w:val="18"/>
                <w:color w:val="auto"/>
              </w:rPr>
              <w:t>306,564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rPr>
              <w:t>350,374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60" w:type="dxa"/>
            <w:vAlign w:val="bottom"/>
            <w:gridSpan w:val="5"/>
            <w:shd w:val="clear" w:color="auto" w:fill="CCFFCC"/>
          </w:tcPr>
          <w:p>
            <w:pPr>
              <w:jc w:val="right"/>
              <w:ind w:right="140"/>
              <w:spacing w:after="0"/>
              <w:rPr>
                <w:sz w:val="20"/>
                <w:szCs w:val="20"/>
                <w:color w:val="auto"/>
              </w:rPr>
            </w:pPr>
            <w:r>
              <w:rPr>
                <w:rFonts w:ascii="Arial" w:cs="Arial" w:eastAsia="Arial" w:hAnsi="Arial"/>
                <w:sz w:val="18"/>
                <w:szCs w:val="18"/>
                <w:color w:val="auto"/>
              </w:rPr>
              <w:t>295,381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Total time deposits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color w:val="auto"/>
                <w:w w:val="87"/>
              </w:rPr>
              <w:t>5,848,290</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FFCC"/>
          </w:tcPr>
          <w:p>
            <w:pPr>
              <w:spacing w:after="0"/>
              <w:rPr>
                <w:sz w:val="18"/>
                <w:szCs w:val="18"/>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color w:val="auto"/>
                <w:w w:val="85"/>
              </w:rPr>
              <w:t>US$</w:t>
            </w:r>
          </w:p>
        </w:tc>
        <w:tc>
          <w:tcPr>
            <w:tcW w:w="860" w:type="dxa"/>
            <w:vAlign w:val="bottom"/>
            <w:gridSpan w:val="5"/>
            <w:shd w:val="clear" w:color="auto" w:fill="CCFFCC"/>
          </w:tcPr>
          <w:p>
            <w:pPr>
              <w:jc w:val="right"/>
              <w:ind w:right="140"/>
              <w:spacing w:after="0"/>
              <w:rPr>
                <w:sz w:val="20"/>
                <w:szCs w:val="20"/>
                <w:color w:val="auto"/>
              </w:rPr>
            </w:pPr>
            <w:r>
              <w:rPr>
                <w:rFonts w:ascii="Arial" w:cs="Arial" w:eastAsia="Arial" w:hAnsi="Arial"/>
                <w:sz w:val="18"/>
                <w:szCs w:val="18"/>
                <w:color w:val="auto"/>
                <w:w w:val="87"/>
              </w:rPr>
              <w:t>5,899,393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(v)</w:t>
            </w:r>
          </w:p>
        </w:tc>
        <w:tc>
          <w:tcPr>
            <w:tcW w:w="624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Return on Equity and Assets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128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1520" w:type="dxa"/>
            <w:vAlign w:val="bottom"/>
            <w:gridSpan w:val="5"/>
            <w:shd w:val="clear" w:color="auto" w:fill="CCFFCC"/>
          </w:tcPr>
          <w:p>
            <w:pPr>
              <w:jc w:val="right"/>
              <w:ind w:right="120"/>
              <w:spacing w:after="0"/>
              <w:rPr>
                <w:sz w:val="20"/>
                <w:szCs w:val="20"/>
                <w:color w:val="auto"/>
              </w:rPr>
            </w:pPr>
            <w:r>
              <w:rPr>
                <w:rFonts w:ascii="Arial" w:cs="Arial" w:eastAsia="Arial" w:hAnsi="Arial"/>
                <w:sz w:val="18"/>
                <w:szCs w:val="18"/>
                <w:color w:val="auto"/>
              </w:rPr>
              <w:t>2.19%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128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22.31%</w:t>
            </w:r>
          </w:p>
        </w:tc>
        <w:tc>
          <w:tcPr>
            <w:tcW w:w="1520" w:type="dxa"/>
            <w:vAlign w:val="bottom"/>
            <w:gridSpan w:val="5"/>
            <w:shd w:val="clear" w:color="auto" w:fill="CCFFCC"/>
          </w:tcPr>
          <w:p>
            <w:pPr>
              <w:jc w:val="right"/>
              <w:ind w:right="120"/>
              <w:spacing w:after="0"/>
              <w:rPr>
                <w:sz w:val="20"/>
                <w:szCs w:val="20"/>
                <w:color w:val="auto"/>
              </w:rPr>
            </w:pPr>
            <w:r>
              <w:rPr>
                <w:rFonts w:ascii="Arial" w:cs="Arial" w:eastAsia="Arial" w:hAnsi="Arial"/>
                <w:sz w:val="18"/>
                <w:szCs w:val="18"/>
                <w:color w:val="auto"/>
              </w:rPr>
              <w:t>24.07%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128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33.44%</w:t>
            </w:r>
          </w:p>
        </w:tc>
        <w:tc>
          <w:tcPr>
            <w:tcW w:w="1520" w:type="dxa"/>
            <w:vAlign w:val="bottom"/>
            <w:gridSpan w:val="5"/>
            <w:shd w:val="clear" w:color="auto" w:fill="CCFFCC"/>
          </w:tcPr>
          <w:p>
            <w:pPr>
              <w:jc w:val="right"/>
              <w:ind w:right="120"/>
              <w:spacing w:after="0"/>
              <w:rPr>
                <w:sz w:val="20"/>
                <w:szCs w:val="20"/>
                <w:color w:val="auto"/>
              </w:rPr>
            </w:pPr>
            <w:r>
              <w:rPr>
                <w:rFonts w:ascii="Arial" w:cs="Arial" w:eastAsia="Arial" w:hAnsi="Arial"/>
                <w:sz w:val="18"/>
                <w:szCs w:val="18"/>
                <w:color w:val="auto"/>
              </w:rPr>
              <w:t>28.81%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128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9.32%</w:t>
            </w:r>
          </w:p>
        </w:tc>
        <w:tc>
          <w:tcPr>
            <w:tcW w:w="1520" w:type="dxa"/>
            <w:vAlign w:val="bottom"/>
            <w:gridSpan w:val="5"/>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128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8.71%</w:t>
            </w:r>
          </w:p>
        </w:tc>
        <w:tc>
          <w:tcPr>
            <w:tcW w:w="1520" w:type="dxa"/>
            <w:vAlign w:val="bottom"/>
            <w:gridSpan w:val="5"/>
            <w:shd w:val="clear" w:color="auto" w:fill="CCFFCC"/>
          </w:tcPr>
          <w:p>
            <w:pPr>
              <w:jc w:val="right"/>
              <w:ind w:right="120"/>
              <w:spacing w:after="0"/>
              <w:rPr>
                <w:sz w:val="20"/>
                <w:szCs w:val="20"/>
                <w:color w:val="auto"/>
              </w:rPr>
            </w:pPr>
            <w:r>
              <w:rPr>
                <w:rFonts w:ascii="Arial" w:cs="Arial" w:eastAsia="Arial" w:hAnsi="Arial"/>
                <w:sz w:val="18"/>
                <w:szCs w:val="18"/>
                <w:color w:val="auto"/>
              </w:rPr>
              <w:t>9.31%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line="258"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total assets, computed as the average of period beginning and period ending balances.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net equity attributable to our equity holders, computed as the average of monthly balances.</w:t>
      </w: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our equity holders per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Average equity attributable to our equity holders divided by average total assets, both averages computed as the average of month-ending balances.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Average equity attributable to our equity shareholders divided by average total assets, both averages computed as the average of month-ending balances.</w:t>
      </w:r>
    </w:p>
    <w:p>
      <w:pPr>
        <w:spacing w:after="0" w:line="230"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Short-Term Borrowing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short-term borrowing, other than deposits, amounted to US$601.5 million and US$673.2 million and US$351.8 million as of December 31, 2008, 2009 and 2010, respectively. Our average balances of borrowed amounts decreased in 2008 due to receiving smaller promotional credit lines. As of December 31, 2008, 2009 and 2010, no BCRP-Repo transactions exist in the outstanding balance.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The following table sets forth our short-term borrowing:</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40" w:type="dxa"/>
            <w:vAlign w:val="bottom"/>
            <w:gridSpan w:val="8"/>
          </w:tcPr>
          <w:p>
            <w:pPr>
              <w:jc w:val="center"/>
              <w:ind w:right="56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134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601,464</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673,234</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351,816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9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935,460</w:t>
            </w: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641,177</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808,548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9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1,197,637</w:t>
            </w: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1,141,131</w:t>
            </w:r>
          </w:p>
        </w:tc>
        <w:tc>
          <w:tcPr>
            <w:tcW w:w="3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1,202,594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nominal year-end interest rate</w:t>
            </w:r>
          </w:p>
        </w:tc>
        <w:tc>
          <w:tcPr>
            <w:tcW w:w="9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w:t>
            </w: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2.83%</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nominal interest rate</w:t>
            </w:r>
          </w:p>
        </w:tc>
        <w:tc>
          <w:tcPr>
            <w:tcW w:w="9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3.40%</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32"/>
        </w:trPr>
        <w:tc>
          <w:tcPr>
            <w:tcW w:w="460" w:type="dxa"/>
            <w:vAlign w:val="bottom"/>
            <w:gridSpan w:val="2"/>
          </w:tcPr>
          <w:p>
            <w:pPr>
              <w:spacing w:after="0"/>
              <w:rPr>
                <w:sz w:val="20"/>
                <w:szCs w:val="20"/>
                <w:color w:val="auto"/>
              </w:rPr>
            </w:pPr>
            <w:r>
              <w:rPr>
                <w:rFonts w:ascii="Arial" w:cs="Arial" w:eastAsia="Arial" w:hAnsi="Arial"/>
                <w:sz w:val="18"/>
                <w:szCs w:val="18"/>
                <w:color w:val="auto"/>
              </w:rPr>
              <w:t>(C)</w:t>
            </w:r>
          </w:p>
        </w:tc>
        <w:tc>
          <w:tcPr>
            <w:tcW w:w="5180" w:type="dxa"/>
            <w:vAlign w:val="bottom"/>
          </w:tcPr>
          <w:p>
            <w:pPr>
              <w:ind w:left="200"/>
              <w:spacing w:after="0"/>
              <w:rPr>
                <w:sz w:val="20"/>
                <w:szCs w:val="20"/>
                <w:color w:val="auto"/>
              </w:rPr>
            </w:pPr>
            <w:r>
              <w:rPr>
                <w:rFonts w:ascii="Arial" w:cs="Arial" w:eastAsia="Arial" w:hAnsi="Arial"/>
                <w:sz w:val="18"/>
                <w:szCs w:val="18"/>
                <w:b w:val="1"/>
                <w:bCs w:val="1"/>
                <w:color w:val="auto"/>
              </w:rPr>
              <w:t>Organizational Structure</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the shareholders of BCP, ASHC and PPS have overlapped. Due to reasons related to the regulatory, political and economic environment in Peru, however, they have been managed independently from one another. We were formed in 1995 by the management of BCP of a potential exchange offer for the purpose of acquiring the common shares of BCP, ASHC and PPS. In the exchange offer in October 1995, we acquired 90.1% of BCP (391,973,951 shares), 98.2% of ASHC (39,346,169 shares), and 75.8% of PPS (5,537,474 shares) in exchange for 60,815,152 of our common shares at a ratio of 0.10401, 0.33708 and 1.2249 of our common shares per common share of BCP, ASHC and PPS, respectively. Our common shares commenced trading on the New York Stock Exchange immediately upon consummation of the exchange offer, with a closing price on that day of US$11.61 (adjusted to reflect stock dividends through May 1999).</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March 19, 1996, pursuant to an exchange offer, we acquired the remaining 1.8% of the outstanding shares of ASHC (702,674 shares) in exchange for 237,859 of our common shares at a ratio of 0.33708 of our common shares per common share of ASHC. The closing price of our common shares on the New York Stock Exchange on the date that exchange offer was completed was US$10.98 (adjusted to reflect stock dividends).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9. The Offer and Listing—(A) Offer and Listing Details—Price History of Credicorp’s Stock” and “Item 8. Financial Information—Consolidated Statements and Other Financial Information—Dividend Policy.”</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consists of certain principal executive officers of BCP, ASHC and PPS. It believes that a unified financial group with a coordinated strategy is best able to take advantage of growth in the Peruvian economy and deregulation of the financial services sector as well as to achieve synergies from cross-selling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Through our subsidiaries, we are the largest Peruvian provider of financial services in Peru.</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Seminario, who was our Chairman of the Board of Directors and Chief Executive Officer, was a member of the Board of Directors of BCP from 1966 to 1987, becoming BCP’s Chairman in 1979. In response to former President Alan García’s attempt to nationalize the Peruvian banking industry in 1987, the majority shareholders of BCP, including Mr. Romero S., sold a controlling interest in BCP and transferred management to its employees. The sale successfully prevented the government from gaining control of BCP. Upon the election of Alberto Fujimori as President of Peru in 1990 and the introduction of market reforms, the Romero family reestablished its holdings in BCP, and Mr. Romero S. and several former key managers returned to BCP. </w:t>
      </w:r>
      <w:r>
        <w:rPr>
          <w:rFonts w:ascii="Arial" w:cs="Arial" w:eastAsia="Arial" w:hAnsi="Arial"/>
          <w:sz w:val="17"/>
          <w:szCs w:val="17"/>
          <w:i w:val="1"/>
          <w:iCs w:val="1"/>
          <w:color w:val="auto"/>
        </w:rPr>
        <w:t>See</w:t>
      </w:r>
      <w:r>
        <w:rPr>
          <w:rFonts w:ascii="Arial" w:cs="Arial" w:eastAsia="Arial" w:hAnsi="Arial"/>
          <w:sz w:val="17"/>
          <w:szCs w:val="17"/>
          <w:color w:val="auto"/>
        </w:rPr>
        <w:t xml:space="preserve"> “—(9) Peruvian Government and Economy—(i) Peruvian Government.” Members of the Romero family exchanged their BCP shares in the October 1995 exchange offer, and as of February 14, 2011 hold 15.0% of our common shares.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ASHC was incorporated in the Cayman Islands in December 1981 as a wholly-owned subsidiary of BCP, under the name Crédito del Perú Holding Corporation or BCP International. It became the first Peruvian bank to establish an offshore banking presence to serve its Peruvian customers. In 1983, BCP distributed its shares of BCP International to its shareholders as dividends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In 1986, BCP International changed its name to ASCH. As a result of the attempted expropriation by the government in 1987, ASHC’s operations and management were made independent of BCP. In 2002, ASHC closed its Miami agency at the same time that BCP opened its Miami agency. Also, Credicorp Securities was established in Miami as our wholly-owned subsidiary and began operating in early 2003 serviced by former ASHC personnel.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jc w:val="both"/>
        <w:ind w:firstLine="648"/>
        <w:spacing w:after="0" w:line="259" w:lineRule="auto"/>
        <w:rPr>
          <w:sz w:val="20"/>
          <w:szCs w:val="20"/>
          <w:color w:val="auto"/>
        </w:rPr>
      </w:pPr>
      <w:r>
        <w:rPr>
          <w:rFonts w:ascii="Arial" w:cs="Arial" w:eastAsia="Arial" w:hAnsi="Arial"/>
          <w:sz w:val="18"/>
          <w:szCs w:val="18"/>
          <w:color w:val="auto"/>
        </w:rPr>
        <w:t>We own 75.98% of PPS directly and 21.28% through our subsidiary Grupo Credito. PPS was formed in 1992 as a result of the merger between El Pacífico Compañía de Seguros y Reaseguros S.A. and Compañía de Seguros y Reaseguros Peruano-Suiza S.A. PPS is the second largest Peruvian insurance company in terms of premium sold and health fees. PPS’s major subsidiaries include Pacífico Vida, which specializes in life and pension fund insurance, and Pacífico Salud, which provides health insurance as an alternative to public social security.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own 100% of Grupo Crédito S.A., which is the principal shareholder in Prima AFP. We also hold equity shares in Peruvian electric utilities and other non-financial companies.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is a subsidiary that we acquired for US$6.2 million in November 1993. Since we transferred to BCP a 55.79% stake in November 2001, we have directly held 2.7% of BCB’s equity while holding the rest through BCP. In December 2002, BCP acquired BSCH-Perú, which was merged into BCP on February 28, 2003.</w:t>
      </w:r>
    </w:p>
    <w:p>
      <w:pPr>
        <w:spacing w:after="0" w:line="208"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color w:val="auto"/>
        </w:rPr>
        <w:t>In 2003, BCP converted BCOL, its offshore bank in the Bahamas, into an investment vehicle, and then sold it to ASHC. ASHC subsequently consolidated BCOL into its operations in 2004. BCOL’s business, which is receiving offshore U.S. Dollar deposits and making U.S. Dollar-denominated loans to large Peruvian customers, was taken over by both BCP’s Panama branch and ASHC.</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spun off into two companies. The first company retained only cash and equity. The second company became a wholly-owned subsidiary of BCP in March 2003 as a result of BCP’s acquisition of the remaining 45% of Solución’s equity interests. Solución was merged into BCP’s Peruvian banking operations in March 2004.</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the transaction had an effective date of January 1, 2005, in March 2005, we sold Banco Tequendama to a Colombian bank. We did not record a material gain as a result of the sale. On December 31, 2004, Banco Tequendama had US$306.7 million in loans and US$290.5 million in deposits. We acquired Banco Tequendama in January 1997 from the Fondo de Garantía de Depósitos y Protección Bancaria, or FOGADE, the Venezuelan government entity responsible for the re-privatization of government-seized assets in connection with the widespread Venezuelan banking problems that began in 1994. We, along with FOGADE and FOGADE’s financial adviser, were sued in Aruba by the former owners of Banco Tequendama. The judge in Aruba dismissed the claim, and the plaintiff appealed. In April 2004, the Court of Appeals in Aruba rejected all of the plaintiff’s claims. The lawsuit followed a previous unsuccessful lawsuit brought by the former owners in Colombia.</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24, 2006, through our subsidiary Prima AFP, we acquired 99.97% of the capital stock of AFP Unión Vida S.A., a pension fund management company that operates in Peru, from Grupo Santander Perú S.A. We also made a tender offer to the minority shareholders in order to acquire the remaining 0.03% of capital stock. The total purchase price was approximately US$141.5 million. At the September 6, 2006 general shareholder’s meeting of Prima AFP, the merger with AFP Unión Vida S.A. was approved, with an effective date of December 1, 2006.</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2009, through our subsidiary BCP, we acquired Empresa Financiera Edyficar S.A., a financial entity specialized in micro lending. As of December 31, 2009 we held 99.79% of the capital stock of Edyficar.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2010, Credicorp's Board of Directors approved the transfer of 84.9% of BCP’s total shares to Grupo Crédito S.A. (its Peruvian wholly owned subsidiary) through a capital contribution, in order to facilitate Credicorp's future investments in Perú without modifying the controlling structure of BCP. Under the new structure, Credicorp directly holds 12.7% of BCP's total shares and, in conjunction with its subsidiary Grupo Crédito, continues to control the same 97.6% of such shares.</w:t>
      </w:r>
    </w:p>
    <w:p>
      <w:pPr>
        <w:spacing w:after="0" w:line="183"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Property, Plants and Equipment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December 31, 2010, we had 535 branches, of which 329 were branch offices of BCP in Peru. Our principal properties include the headquarters of BCP, at Calle Centenario 156, La Molina, Lima 12, Perú. There are no material encumbrances on any of our properties.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Operating Results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functional and presentation currency is the United States Dollar (U.S. Dollar or US$) because it reflects the economic substance of the underlying events and circumstances relevant to the Company. In addition, Credicorp’s main operations and transactions in the different countries where it operates are established and settled in U.S. Dollars.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statements of each of Credicorp’s subsidiaries are measured using the currency of the country in which each entity operates and converted into U.S. Dollars (functional and presentation currency) as follows:</w:t>
      </w:r>
    </w:p>
    <w:p>
      <w:pPr>
        <w:spacing w:after="0" w:line="170" w:lineRule="exact"/>
        <w:rPr>
          <w:sz w:val="20"/>
          <w:szCs w:val="20"/>
          <w:color w:val="auto"/>
        </w:rPr>
      </w:pPr>
    </w:p>
    <w:p>
      <w:pPr>
        <w:ind w:left="980" w:hanging="324"/>
        <w:spacing w:after="0"/>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Monetary assets and liabilities are converted at the free market exchange rate at the date of the consolidated statements of financial position.</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Non-monetary accounts are converted at the free market exchange rate prevailing at the date of the transaction.</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converted at the free market exchange rate prevailing at the date of the transaction, are converted monthly at the average monthly exchange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conversion differences are recognized in the consolidated income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and expense recognition from banking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Insurance contracts are those contracts where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extinguish or expire.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Group cedes insurance risk in the normal course of business for all of its operations. Reinsurance assets represent balances due from reinsurance companies. Reinsurance ceded is placed on both a proportional and non–proportional basis.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jc w:val="both"/>
        <w:ind w:firstLine="648"/>
        <w:spacing w:after="0" w:line="277" w:lineRule="auto"/>
        <w:rPr>
          <w:sz w:val="20"/>
          <w:szCs w:val="20"/>
          <w:color w:val="auto"/>
        </w:rPr>
      </w:pPr>
      <w:r>
        <w:rPr>
          <w:rFonts w:ascii="Arial" w:cs="Arial" w:eastAsia="Arial" w:hAnsi="Arial"/>
          <w:sz w:val="18"/>
          <w:szCs w:val="18"/>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reinsurance arrangements do not relieve the Group from its obligations to a policyholder.</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Instruments: Initial recognition and subsequent measurement: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208"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 and financial liabilities at fair value through profit or loss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may only designate an instrument at fair value through profit or loss upon initial recognition when the following criteria are met:</w:t>
      </w:r>
    </w:p>
    <w:p>
      <w:pPr>
        <w:spacing w:after="0" w:line="237" w:lineRule="exact"/>
        <w:rPr>
          <w:sz w:val="20"/>
          <w:szCs w:val="20"/>
          <w:color w:val="auto"/>
        </w:rPr>
      </w:pPr>
    </w:p>
    <w:p>
      <w:pPr>
        <w:ind w:left="1300" w:right="100" w:hanging="320"/>
        <w:spacing w:after="0" w:line="258"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 w:lineRule="exact"/>
        <w:rPr>
          <w:rFonts w:ascii="Arial" w:cs="Arial" w:eastAsia="Arial" w:hAnsi="Arial"/>
          <w:sz w:val="18"/>
          <w:szCs w:val="18"/>
          <w:color w:val="auto"/>
        </w:rPr>
      </w:pPr>
    </w:p>
    <w:p>
      <w:pPr>
        <w:ind w:left="1300" w:right="620" w:hanging="320"/>
        <w:spacing w:after="0" w:line="265" w:lineRule="auto"/>
        <w:tabs>
          <w:tab w:leader="none" w:pos="13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ind w:left="1300" w:right="340" w:hanging="320"/>
        <w:spacing w:after="0" w:line="261"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21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Changes in fair value of designated financial assets through profit or loss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 income is recorded when the collection right has been established.</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ind w:left="1300" w:hanging="644"/>
        <w:spacing w:after="0"/>
        <w:tabs>
          <w:tab w:leader="none" w:pos="130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25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19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181"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0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on an internal risk classification, with consideration given to any guarantees and collaterals received, note 3(i) and 29.1 to the Consolidated Financial Statements.</w:t>
      </w:r>
    </w:p>
    <w:p>
      <w:pPr>
        <w:spacing w:after="0" w:line="181"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Available-for-sale financial investments</w:t>
      </w:r>
    </w:p>
    <w:p>
      <w:pPr>
        <w:spacing w:after="0" w:line="25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Available-for-sale financial investments are non-derivative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20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income statement in the caption “Net gain on sale of securities”, or determined to be impaired, at which time the impaired amount is recognized in the consolidated income statement in the caption “Impairment loss on available–for–sale investments” and removed from the available-for-sale reserve.</w:t>
      </w:r>
    </w:p>
    <w:p>
      <w:pPr>
        <w:spacing w:after="0" w:line="21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 Estimated fair values are based primarily on quoted prices or, if quoted market prices are not available, discounted expected cash flows using market rates commensurate with the credit quality and maturity of the investment.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may elect to reclassify these financial assets only in rare circumstances, such as when the Group is unable to sell the assets due to markets inactivity and management’s intent to sell the assets in the foreseeable future has changed significantly. Reclassification to loans and receivables is permitted when the financial asset meets the definition of loans and receivables and management has the intent and the ability to hold these assets for the foreseeable future or until maturity. The reclassification to held to maturity category is permitted only when the entity has the ability and intent to hold the financial asset until maturity.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2010 and 2009, we did not reclassify any of our available-for-sale financial investments.</w:t>
      </w:r>
    </w:p>
    <w:p>
      <w:pPr>
        <w:spacing w:after="0" w:line="225"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Other financial liabilities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includes any issuance discount or premium and costs that are an integral part of the effective interest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De-recognition of financial assets and financial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assets: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i w:val="1"/>
          <w:iCs w:val="1"/>
          <w:color w:val="auto"/>
        </w:rPr>
        <w:t>Financial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any resulting difference in the respective carrying amount is recognized as profit or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Offsetting financial instruments: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financial assets: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assess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such loss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188"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receivables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recognized, or continues to be recognized, are not included in a collective assessment of impairment.</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any subsequent year, the amount of the estimated impairment loss increases or decreases because an event occurring after the impairment was recognized, the previously recognized impairment loss is increased or reduced by adjusting the allowance account. If in the future a write-off is later recovered, the recovery is recognized in the consolidated income statement, as a credit to the caption “Provision for loan losses”.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a collective evaluation impairment, financial assets are grouped considering the Group’s internal credit grading system, which considers credit risk characteristics for example: asset type, industry, geographical location, collateral type, past-due status and other relevant factors.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211"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financial investments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8" w:name="page79"/>
    <w:bookmarkEnd w:id="78"/>
    <w:p>
      <w:pPr>
        <w:jc w:val="both"/>
        <w:ind w:firstLine="648"/>
        <w:spacing w:after="0" w:line="293" w:lineRule="auto"/>
        <w:rPr>
          <w:sz w:val="20"/>
          <w:szCs w:val="20"/>
          <w:color w:val="auto"/>
        </w:rPr>
      </w:pPr>
      <w:r>
        <w:rPr>
          <w:rFonts w:ascii="Arial" w:cs="Arial" w:eastAsia="Arial" w:hAnsi="Arial"/>
          <w:sz w:val="16"/>
          <w:szCs w:val="16"/>
          <w:color w:val="auto"/>
        </w:rPr>
        <w:t>In the case of equity investments, objective evidence would include a significant or prolonged decline in the fair value of the investment below its cost. “Significant” is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the investments available-for-sale reserve of the consolidated statement of changes in equity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income statement. Future interest income is based on the reduced carrying amount and is accrued using the interest rate used to discount the future cash flows for the purpose of measuring the impairment loss. Interest income is recorded as part of the “Interest and dividend income” portion of the consolidated income statement. If in a subsequent year, the fair value of a debt instrument increases and the increase is objectively related to an event occurring after the impairment loss was recognized in the consolidated income statement, the impairment loss will be reversed through the consolidated income statement.</w:t>
      </w:r>
    </w:p>
    <w:p>
      <w:pPr>
        <w:spacing w:after="0" w:line="201"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Renegotiated loans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will be considered impaired and past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non-financial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assesses at each reporting date, or more frequently if events or changes in circumstances warrant, whether the carrying value of non-financial assets may be impaired. If any indication of impairment exists, the Group estimates the asset’s recoverable amount. An asset’s recoverable amount is the higher of an asset’s or cash generating unit’s (CGU) fair value less costs to sell and its value in use. Goodwill is tested annually for impairment. Where the carrying amount of an asset (or cash-generating unit) exceeds its recoverable amount, the asset (or cash-generating unit) is considered impaired and is written down to its recoverable amount.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reversal is limited so that the carrying amount of the asset neither exceeds its recoverable amount, nor exceeds the carrying amount that would have been determined, net of depreciation, had no impairment loss been recognized for the asset in prior years. Such reversal is recognized in the income statement.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losses relating to goodwill cannot be reversed for subsequent increases in its recoverable amount in future periods.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Due from customers on acceptances: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guarantees: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ordinary course of business, the Group grants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as the higher of the amortized fee and the best estimate of expenditure required to settle any financial obligation arising as a result of the financial guarantee.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9" w:name="page80"/>
    <w:bookmarkEnd w:id="79"/>
    <w:p>
      <w:pPr>
        <w:jc w:val="both"/>
        <w:ind w:right="20" w:firstLine="648"/>
        <w:spacing w:after="0" w:line="277" w:lineRule="auto"/>
        <w:rPr>
          <w:sz w:val="20"/>
          <w:szCs w:val="20"/>
          <w:color w:val="auto"/>
        </w:rPr>
      </w:pPr>
      <w:r>
        <w:rPr>
          <w:rFonts w:ascii="Arial" w:cs="Arial" w:eastAsia="Arial" w:hAnsi="Arial"/>
          <w:sz w:val="18"/>
          <w:szCs w:val="18"/>
          <w:color w:val="auto"/>
        </w:rPr>
        <w:t>Any increase in the liability relating to a financial guarantee is included in the consolidated statement of income. The fee received is recognized in the consolidated statement of income in the caption “Banking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income statement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payment transactions</w:t>
      </w:r>
    </w:p>
    <w:p>
      <w:pPr>
        <w:spacing w:after="0" w:line="225"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Cash-settled transactions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explained in note 18(a) to the Consolidated Financial Statements, we granted a supplementary remuneration plan to certain employees who had at least one year of service with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SARs fair value is expensed over the period up to the vesting date, with recognition of a corresponding liability. The liability is rerecorded to fair value at each reporting date up to and including the settlement date, with changes in fair value are recognized in the consolidated income statement under the caption “Salaries and employee benefits”. When the price or terms of the SARs are modified, any additional expense is also recorded in the consolidated income statement.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18 to the Credicorp Consolidated Financial Statements.</w:t>
      </w:r>
    </w:p>
    <w:p>
      <w:pPr>
        <w:spacing w:after="0" w:line="187"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Equity-settled transactions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explain in note 18(b) to the Consolidated Financial Statements, as of April 2009, a new supplementary remuneration plan was implemented to replace the SARs plan.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expense is recorded in the consolidated income statement under the caption “Salaries and employees benefits”. When the terms of an equity-settled award are modified, the minimum expense recognized under the “Salaries and employees benefits” caption in the consolidated income statement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financial instruments: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Trading: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0" w:name="page81"/>
    <w:bookmarkEnd w:id="80"/>
    <w:p>
      <w:pPr>
        <w:jc w:val="both"/>
        <w:ind w:firstLine="648"/>
        <w:spacing w:after="0" w:line="312" w:lineRule="auto"/>
        <w:rPr>
          <w:sz w:val="20"/>
          <w:szCs w:val="20"/>
          <w:color w:val="auto"/>
        </w:rPr>
      </w:pPr>
      <w:r>
        <w:rPr>
          <w:rFonts w:ascii="Arial" w:cs="Arial" w:eastAsia="Arial" w:hAnsi="Arial"/>
          <w:sz w:val="16"/>
          <w:szCs w:val="16"/>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Hedge: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 instruments to manage exposures to interest rate and foreign currency. In order to manage particular risks, the Group applies hedge accounting for transactions which meet the specified criteria.</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52"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effective portion of the gain or loss on the hedging instrument is recognized directly as other comprehensive income in the cash flow hedge reserve, while any ineffective portion is recognized immediately in the consolidated income statement as finance costs.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214"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hedged item is derecognized, the unamortized fair value is recognized immediately in the consolidated income statement.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Embedded derivates: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5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The Group has certificates indexed to the price of Credicorp Ltd. shares that will be settled in cash, and investments indexed to certain life insurance contracts liabilities, denominated “Unit Linked”. These instruments were classified at inception by the Group as “Financial instruments at fair value though profit or loss”, </w:t>
      </w:r>
      <w:r>
        <w:rPr>
          <w:rFonts w:ascii="Arial" w:cs="Arial" w:eastAsia="Arial" w:hAnsi="Arial"/>
          <w:sz w:val="18"/>
          <w:szCs w:val="18"/>
          <w:i w:val="1"/>
          <w:iCs w:val="1"/>
          <w:color w:val="auto"/>
        </w:rPr>
        <w:t>see</w:t>
      </w:r>
      <w:r>
        <w:rPr>
          <w:rFonts w:ascii="Arial" w:cs="Arial" w:eastAsia="Arial" w:hAnsi="Arial"/>
          <w:sz w:val="18"/>
          <w:szCs w:val="18"/>
          <w:color w:val="auto"/>
        </w:rPr>
        <w:t xml:space="preserve"> 3(f)(i), and note 7 to the Consolidated Financial Statements.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Fiduciary activities, management of funds and pension funds: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Group provides custody, trustee, investment management and advisory services to third parties that result in the holding of assets on their behalf.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assets and income arising thereon are excluded from these consolidated financial statements, as they are not assets of the Group.</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48"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monitors the results of its operating segments separately for the purpose of making decisions about resource allocation and performance assessment. Regarding the Group’s segments, total revenues from banking segment amounted to 74% or more of the Group’s total revenue in 2010, 2009, and 2008; therefore, the following historical discussion and analysis is presented principally for banking segment, except when otherwise indicated, and is based upon information contained in our Consolidated Financial Statements and should be read in conjunction therewith. The discussion in this section regarding interest rates is based on nominal interest rates.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financial information and discussion and analysis presented below for 2008, 2009 and 2010 reflect the financial position and results of operations for 2008, 2009 and 2010 of our subsidiaries.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2010, approximately 55.4% of our deposits and 62.4% of our loans were U.S. Dollar-denominated. Despite these high proportions, U.S. Dollar-denominated deposits have decreased from the previous year (57.9% in 2009) due to a reduction in the rate of inflation. Nevertheless, we expect the majority of our deposits and loans to continue to be denominated in U.S. Dollars.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2010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2008, 2009 and 2010, the principal components of our net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88"/>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i w:val="1"/>
                <w:iCs w:val="1"/>
                <w:color w:val="auto"/>
                <w:w w:val="92"/>
              </w:rPr>
              <w:t>(U.S. Dollars in thousands)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1,382,844</w:t>
            </w:r>
          </w:p>
        </w:tc>
        <w:tc>
          <w:tcPr>
            <w:tcW w:w="200" w:type="dxa"/>
            <w:vAlign w:val="bottom"/>
            <w:shd w:val="clear" w:color="auto" w:fill="CCFFCC"/>
          </w:tcPr>
          <w:p>
            <w:pPr>
              <w:spacing w:after="0"/>
              <w:rPr>
                <w:sz w:val="18"/>
                <w:szCs w:val="18"/>
                <w:color w:val="auto"/>
              </w:rPr>
            </w:pP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1,312,925</w:t>
            </w: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1,471,708</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(561,617)</w:t>
            </w:r>
          </w:p>
        </w:tc>
        <w:tc>
          <w:tcPr>
            <w:tcW w:w="4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(420,564)</w:t>
            </w:r>
          </w:p>
        </w:tc>
        <w:tc>
          <w:tcPr>
            <w:tcW w:w="4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(414,121)</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w:t>
            </w:r>
          </w:p>
        </w:tc>
        <w:tc>
          <w:tcPr>
            <w:tcW w:w="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821,227</w:t>
            </w:r>
          </w:p>
        </w:tc>
        <w:tc>
          <w:tcPr>
            <w:tcW w:w="2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892,361</w:t>
            </w:r>
          </w:p>
        </w:tc>
        <w:tc>
          <w:tcPr>
            <w:tcW w:w="2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10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(48,760)</w:t>
            </w:r>
          </w:p>
        </w:tc>
        <w:tc>
          <w:tcPr>
            <w:tcW w:w="4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(163,392)</w:t>
            </w:r>
          </w:p>
        </w:tc>
        <w:tc>
          <w:tcPr>
            <w:tcW w:w="4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(174,682)</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 after Provision</w:t>
            </w:r>
          </w:p>
        </w:tc>
        <w:tc>
          <w:tcPr>
            <w:tcW w:w="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772,467</w:t>
            </w:r>
          </w:p>
        </w:tc>
        <w:tc>
          <w:tcPr>
            <w:tcW w:w="2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728,969</w:t>
            </w:r>
          </w:p>
        </w:tc>
        <w:tc>
          <w:tcPr>
            <w:tcW w:w="2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882,905</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Noninterest income</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592,564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720,631</w:t>
            </w: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804,535</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Insurance premiums earned net of claims on insurance activities</w:t>
            </w:r>
          </w:p>
        </w:tc>
        <w:tc>
          <w:tcPr>
            <w:tcW w:w="3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51,993</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138,224</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164,721</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expenses</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(920,603)</w:t>
            </w: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(957,110)</w:t>
            </w:r>
          </w:p>
        </w:tc>
        <w:tc>
          <w:tcPr>
            <w:tcW w:w="4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(1,085,885)</w:t>
            </w: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before translation result and income tax</w:t>
            </w:r>
          </w:p>
        </w:tc>
        <w:tc>
          <w:tcPr>
            <w:tcW w:w="3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496,421</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630,714</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766,276</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Translation result (loss) gain</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( 17,650)</w:t>
            </w: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12,222)</w:t>
            </w:r>
          </w:p>
        </w:tc>
        <w:tc>
          <w:tcPr>
            <w:tcW w:w="400" w:type="dxa"/>
            <w:vAlign w:val="bottom"/>
          </w:tcPr>
          <w:p>
            <w:pPr>
              <w:ind w:left="20"/>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24,120</w:t>
            </w:r>
          </w:p>
        </w:tc>
      </w:tr>
      <w:tr>
        <w:trPr>
          <w:trHeight w:val="223"/>
        </w:trPr>
        <w:tc>
          <w:tcPr>
            <w:tcW w:w="20" w:type="dxa"/>
            <w:vAlign w:val="bottom"/>
          </w:tcPr>
          <w:p>
            <w:pPr>
              <w:spacing w:after="0"/>
              <w:rPr>
                <w:sz w:val="19"/>
                <w:szCs w:val="19"/>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38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(109,508)</w:t>
            </w:r>
          </w:p>
        </w:tc>
        <w:tc>
          <w:tcPr>
            <w:tcW w:w="4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(138,500)</w:t>
            </w:r>
          </w:p>
        </w:tc>
        <w:tc>
          <w:tcPr>
            <w:tcW w:w="40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(187,081)</w:t>
            </w:r>
          </w:p>
        </w:tc>
      </w:tr>
      <w:tr>
        <w:trPr>
          <w:trHeight w:val="216"/>
        </w:trPr>
        <w:tc>
          <w:tcPr>
            <w:tcW w:w="20" w:type="dxa"/>
            <w:vAlign w:val="bottom"/>
          </w:tcPr>
          <w:p>
            <w:pPr>
              <w:spacing w:after="0"/>
              <w:rPr>
                <w:sz w:val="18"/>
                <w:szCs w:val="18"/>
                <w:color w:val="auto"/>
              </w:rPr>
            </w:pPr>
          </w:p>
        </w:tc>
        <w:tc>
          <w:tcPr>
            <w:tcW w:w="6440" w:type="dxa"/>
            <w:vAlign w:val="bottom"/>
            <w:tcBorders>
              <w:top w:val="single" w:sz="8" w:color="CCFFCC"/>
            </w:tcBorders>
          </w:tcPr>
          <w:p>
            <w:pPr>
              <w:ind w:left="16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369,263</w:t>
            </w:r>
          </w:p>
        </w:tc>
        <w:tc>
          <w:tcPr>
            <w:tcW w:w="20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US$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504,436</w:t>
            </w:r>
          </w:p>
        </w:tc>
        <w:tc>
          <w:tcPr>
            <w:tcW w:w="20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US$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603,315</w:t>
            </w: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w:t>
            </w: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Equity holders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357,756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469,785</w:t>
            </w:r>
          </w:p>
        </w:tc>
        <w:tc>
          <w:tcPr>
            <w:tcW w:w="4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571,302</w:t>
            </w: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interests</w:t>
            </w:r>
          </w:p>
        </w:tc>
        <w:tc>
          <w:tcPr>
            <w:tcW w:w="38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11,507</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34,651</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32,013</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369,263</w:t>
            </w:r>
          </w:p>
        </w:tc>
        <w:tc>
          <w:tcPr>
            <w:tcW w:w="2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US$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504,436</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rPr>
              <w:t>US$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603,315</w:t>
            </w: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income attributable to our equity holders increased from US$469.8 million in 2009 to US$571.3 million in 2010. Our net income increased from 2009 to 2010 primarily due to increased interest income of approximately US$158.8 million, net of an increase in income tax of US$48.6 million.</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income attributable to our equity holders increased from US$357.8 million in 2008 to US$469.8 million in 2009, which represented an increase of 31.3% from 2008 to 2009, despite the charges recorded during 2009.</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other hand, non interest income increased 11.6% in 2010 to US$804.5 million, primarily due to an increase in fees and commissions income from banking services of US$158.1 million, or 20.1%, net of a decrease in net gains from sales of securities of US$40.6 million or 33.6%. Non interest income increased 21.6% in 2009 to US$720.6 million.</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8"/>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gridSpan w:val="6"/>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Loans</w:t>
            </w:r>
          </w:p>
        </w:tc>
        <w:tc>
          <w:tcPr>
            <w:tcW w:w="420" w:type="dxa"/>
            <w:vAlign w:val="bottom"/>
          </w:tcPr>
          <w:p>
            <w:pPr>
              <w:ind w:left="20"/>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963,940</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1,062,046</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37,352</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11,047</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298,021</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186,629</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Gain from derivatives instruments and other interest income</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33,428</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38,617</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420" w:type="dxa"/>
            <w:vAlign w:val="bottom"/>
          </w:tcPr>
          <w:p>
            <w:pPr>
              <w:ind w:left="20"/>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1,382,844</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1,312,925</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1,471,708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27,165</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18,509</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310,856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206,118</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Issued bonds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90,083</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91,319</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Borrowing from other financial institutions and others</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66,491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27,328</w:t>
            </w: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38,085</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21,414</w:t>
            </w: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Loss from derivatives instruments and other interest expenses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28,937</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561,617</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420,564</w:t>
            </w:r>
          </w:p>
        </w:tc>
        <w:tc>
          <w:tcPr>
            <w:tcW w:w="22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414,120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821,227</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892,361</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interest income increased 18.5% in 2010 compared to 2009, and increased 8.7% in 2009 compared to 2008.</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increased 12.1% in 2010 compared to 2009, after decreasing 5.1% in 2009 compared to 2008. The increase in 2010</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higher average volume in loans and deposits in the Central Bank. The increase in loans and deposits in the Central Bank was primarily due to a lower volume average throughout the year and lower rates. The decrease in 2009 was primarily due to lower average volume in investments securities and others and loans. The decrease in investments securities was primarily due to a lower volume average throughout the year and lower rates.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average nominal interest rates earned on loans decreased to 9.4% in 2010 from 9.9% in 2009 and from 10.1% in 2008. The average nominal interest rate for foreign currency-denominated loans decreased from 7.7% in 2009 and 2009 to 6.5% in 2010, due to a fall in interest rates in the international market. Interest rates for Nuevo Sol-denominated loans decreased from 13.4% in 2008. to 13.8% in 2009 and further to 14.1% in 2010, which represented minor fluctuations in interest rates in Nuevo Sol for loans.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average balance of our foreign currency-denominated loan portfolio increased 17.0% to US$7,965.6 million in 2010, as compared to US$6,810.1 million in 2009. In 2009, the average balance of our foreign currency-denominated loan portfolio increased 4.2% over the US$6,533.9 million average balance recorded in 2008. The average balance of our Nuevo Sol-denominated loan portfolio increased 30.3% from US$2,987.7 million in 2008 to US$3,983.5 million in 2009, and by 27.3% to US$4,957.7 million in 2010. The average balance increase from 2009 to 2010 was due to the recovery of the Peruvian economy and Peruvian financial system after the international crisis.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2009, the lower expansion of the average balance as compared to the growth rate registered in 2010 was explained by the effects of the international crisis on the Peruvian economy which grew 0.9% in 2009 whereas in 2010 the rate ascended to 8.8%. On the other hand, the significant increase in 2008 was related primarily to the growth in the Peruvian economy (GDP growth rate of 9.8%) during that year (prior to the international crisis). In addition, in 2008 an increasing proportion of loans went to commerce, mortgage, manufacturing and financial intermediation sectors presenting higher risk, but these sectors also yielded higher margins.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Overview—(12) Selected Statistical Information.”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in 2010 by 1.53% as compared to 2009 and by 25.1% in 2009 as compared to 2008.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during 2010 was principally due to the lower interest rate in foreign currency and in Nuevos Soles (net of the increase in interest expense of issue bonds) that BCP received as a result of issuing US$800 million in senior notes.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Average nominal interest rates paid on foreign currency-denominated deposits decreased from 2.4% in 2008 to 1.5% in 2009, and to 1.0% in 2010. Average nominal interest paid on Nuevo Sol-denominated deposits decreased from 3.5% in 2008 to 2.2% in 2009, and to 1.2% in 2010. This rate decrease followed the market trend of interest rates observed in 2010.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Overview—(8) Competition” and “— (12) Selected Statistical Information.”</w:t>
      </w: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jc w:val="both"/>
        <w:ind w:firstLine="648"/>
        <w:spacing w:after="0" w:line="259" w:lineRule="auto"/>
        <w:rPr>
          <w:sz w:val="20"/>
          <w:szCs w:val="20"/>
          <w:color w:val="auto"/>
        </w:rPr>
      </w:pPr>
      <w:r>
        <w:rPr>
          <w:rFonts w:ascii="Arial" w:cs="Arial" w:eastAsia="Arial" w:hAnsi="Arial"/>
          <w:sz w:val="18"/>
          <w:szCs w:val="18"/>
          <w:color w:val="auto"/>
        </w:rPr>
        <w:t xml:space="preserve">Our average foreign currency-denominated deposits increased 3.1% to US$9,102.5 million in 2010 from US$8,829.4 million in 2009, and increased 13.1% from US$7,803.5 million in 2008. Our average Nuevo Sol-denominated deposits increased 37.1% in 2010 to US$6,846.4 million from US$4,995.4 million in 2009, and decreased 9.0% from US$5,488.6 million in 2008.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Net Interest Margin: </w:t>
      </w:r>
      <w:r>
        <w:rPr>
          <w:rFonts w:ascii="Arial" w:cs="Arial" w:eastAsia="Arial" w:hAnsi="Arial"/>
          <w:sz w:val="18"/>
          <w:szCs w:val="18"/>
          <w:color w:val="auto"/>
        </w:rPr>
        <w:t>Our net interest margin (net interest income divided by average interest-earning assets) was 4.9% in 2010 and did not 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significantly compared to 2009 and 2008, when the margin stayed in 4.7% as in 2009 returns declined on interest-earning assets (mainly securities and Nuevo Sol-denominated loans) while funding costs remained relatively unchanged.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all of our loans and other credits by risk category. We establish our loan loss reserves based on criteria established by IAS 39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46" w:lineRule="exact"/>
        <w:rPr>
          <w:sz w:val="20"/>
          <w:szCs w:val="20"/>
          <w:color w:val="auto"/>
        </w:rPr>
      </w:pPr>
    </w:p>
    <w:p>
      <w:pPr>
        <w:jc w:val="both"/>
        <w:ind w:firstLine="8"/>
        <w:spacing w:after="0" w:line="255" w:lineRule="auto"/>
        <w:tabs>
          <w:tab w:leader="none" w:pos="18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Information on the Company—(B) Business Overview—(12) Selected Statistical Information—(iii) Loan Portfolio—Classification of the Loan Portfolio”). We do not anticipate that the expansion of our loan portfolio or the development of the activities of our subsidiaries will require a change in our reserve policy.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changes in our reserve for loan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9"/>
              </w:rPr>
              <w:t>Year ended December 31</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2006</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9"/>
              </w:rPr>
              <w:t>Reserves for loan losses at the beginning of the</w:t>
            </w:r>
          </w:p>
        </w:tc>
        <w:tc>
          <w:tcPr>
            <w:tcW w:w="4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year</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218,636</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210,586</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229,700</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248,063</w:t>
            </w:r>
          </w:p>
        </w:tc>
        <w:tc>
          <w:tcPr>
            <w:tcW w:w="22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28,439</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48,760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163,392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Edyficar</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20,905</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44,284</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34,084</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31,279</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23,928</w:t>
            </w: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(49,859)</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(47,266)</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(59,308)</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(87,927)</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1,768</w:t>
            </w:r>
          </w:p>
        </w:tc>
        <w:tc>
          <w:tcPr>
            <w:tcW w:w="4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3,857</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(2,368)</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7,688)</w:t>
            </w: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210,586</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229,700</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248,063</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376,049</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448,597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 US$174.7 million loan loss provision in 2010 and a US$163.4 million provision in 2009. Total write-offs amounted to US$142.7 million in 2010 and US$87.9 million in 2009. Total recoveries of write-offs reached US$34.6 million in 2010 and US$23.9 million in 2009, increasing 44.6% in 2010. Provision expense in 2010 included US$3.6 million required by BCB (compared to US$5.6 million in 2009). Recoveries of previously charged-off accounts in 2010 amounted to US$34.6 million (compared to US$23.9 million in 2009).</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reserves, which amounted to US$448.6 million in 2010, include the allowance for direct and indirect credits of approximately US$415.7 million and US$32.9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ind w:left="640"/>
              <w:spacing w:after="0"/>
              <w:rPr>
                <w:sz w:val="20"/>
                <w:szCs w:val="20"/>
                <w:color w:val="auto"/>
              </w:rPr>
            </w:pPr>
            <w:r>
              <w:rPr>
                <w:rFonts w:ascii="Arial" w:cs="Arial" w:eastAsia="Arial" w:hAnsi="Arial"/>
                <w:sz w:val="18"/>
                <w:szCs w:val="18"/>
                <w:i w:val="1"/>
                <w:iCs w:val="1"/>
                <w:color w:val="auto"/>
              </w:rPr>
              <w:t>Non-Interest Income</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880" w:type="dxa"/>
            <w:vAlign w:val="bottom"/>
          </w:tcPr>
          <w:p>
            <w:pPr>
              <w:ind w:left="640"/>
              <w:spacing w:after="0"/>
              <w:rPr>
                <w:sz w:val="20"/>
                <w:szCs w:val="20"/>
                <w:color w:val="auto"/>
              </w:rPr>
            </w:pPr>
            <w:r>
              <w:rPr>
                <w:rFonts w:ascii="Arial" w:cs="Arial" w:eastAsia="Arial" w:hAnsi="Arial"/>
                <w:sz w:val="18"/>
                <w:szCs w:val="18"/>
                <w:color w:val="auto"/>
              </w:rPr>
              <w:t>The following table reflects the components of our non-interest income:</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b w:val="1"/>
                <w:bCs w:val="1"/>
                <w:color w:val="auto"/>
                <w:w w:val="88"/>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i w:val="1"/>
                <w:iCs w:val="1"/>
                <w:color w:val="auto"/>
                <w:w w:val="92"/>
              </w:rPr>
              <w:t>(U.S. Dollars in thousands)</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394,247</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436,819</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524,895</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51,936</w:t>
            </w:r>
          </w:p>
        </w:tc>
        <w:tc>
          <w:tcPr>
            <w:tcW w:w="4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120,932</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80,326</w:t>
            </w: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108,709</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87,944</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104,169</w:t>
            </w: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37,672</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74,936</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4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592,564</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720,631</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804,535</w:t>
            </w:r>
          </w:p>
        </w:tc>
        <w:tc>
          <w:tcPr>
            <w:tcW w:w="100" w:type="dxa"/>
            <w:vAlign w:val="bottom"/>
            <w:tcBorders>
              <w:bottom w:val="single" w:sz="8" w:color="CCFFCC"/>
            </w:tcBorders>
            <w:shd w:val="clear" w:color="auto" w:fill="CCFFCC"/>
          </w:tcPr>
          <w:p>
            <w:pPr>
              <w:spacing w:after="0"/>
              <w:rPr>
                <w:sz w:val="19"/>
                <w:szCs w:val="19"/>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4" w:name="page85"/>
    <w:bookmarkEnd w:id="84"/>
    <w:p>
      <w:pPr>
        <w:jc w:val="both"/>
        <w:ind w:firstLine="648"/>
        <w:spacing w:after="0" w:line="264" w:lineRule="auto"/>
        <w:rPr>
          <w:sz w:val="20"/>
          <w:szCs w:val="20"/>
          <w:color w:val="auto"/>
        </w:rPr>
      </w:pPr>
      <w:r>
        <w:rPr>
          <w:rFonts w:ascii="Arial" w:cs="Arial" w:eastAsia="Arial" w:hAnsi="Arial"/>
          <w:sz w:val="18"/>
          <w:szCs w:val="18"/>
          <w:color w:val="auto"/>
        </w:rPr>
        <w:t>Our non-interest income, without including net premiums earned, increased 11.6% to US$804.5 million in 2010 as compared to US$720.6 million in 2009, and increased 21.6% as compared to US$592.6 million in 2008. The revenue increase in 2010 was primarily due to an increase in fees and commissions from banking services, net of a decrease in net gains from sales of securities.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Fees and commissions income from banking services increased 20.2% to US$524.9 million in 2010 from US$436.8 million in 2009, following a 10.8% increase in 2009 from US$394.2 million in 2008. The increase in fees and commissions income from banking services in 2010 was primarily due to an increase in account maintenance, banking transfers commissions, credit/debit card services and fund management fees, while the increase in 2009 was primarily due to an increase in transfer and collections fees, increased commissions from credit/debit card services, increased in fees from trust services and improved property leasing service.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from sales of securities decreased 33.6% to US$80.3 million in 2010 as compared to US$120.9 million in 2009, following an increase from US$51.9 million in 2008, which represented an increase of 132.8%. The decrease in 2010 was primarily due to the increased volatility observed in capital markets, which caused the depreciation of stock prices in our investment portfolio. The increase in 2009 was primarily due to the increased volatility observed in capital markets, which caused the appreciation of stock prices in our investment portfolio.</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on foreign exchange transactions increased 18.5% to US$104.1 million in 2010 as compared to US$87.9 million in 2009, following a decrease of 19.1% from US$108.7 million in 2008. Net gains from foreign exchange transactions are not attributable to proprietary trading on our part. Higher gains in 2010 compared to 2009 were primarily due to the lower transaction volumes that resulted primarily from the decreased volatility in the foreign exchange market.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Other income increased 27.0% to US$95.1 million in 2010 as compared to US$75.0 million in 2009, after increasing 98.9% from US$37.6 million in 2008. Other income principally consists of valuation of assets and liabilities designated at fair value, sales of seized assets, leasing income, recoveries of other accounts receivable and other assets and other income. The increase in other income in 2010 was primarily due to a proprietary position in indexed certificates issued by Citigroup and Calyon to mitigate the volatility in operating expenses caused by stock appreciation rights granted to our executives. The indexed certificates are in the form of warrants issued by Citigroup and Calyon and are settled exclusively in cash. These instruments do not qualify for hedge accounting. Gains on these indexed certificates are reported as other income while losses are reported under operating expenses.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 to the Credicorp Consolidated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our insurance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i w:val="1"/>
                <w:iCs w:val="1"/>
                <w:color w:val="auto"/>
              </w:rPr>
              <w:t>(U.S. Dollars in thousands)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393,903</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424,682</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480,293</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claims incurred</w:t>
            </w:r>
          </w:p>
        </w:tc>
        <w:tc>
          <w:tcPr>
            <w:tcW w:w="4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(101,890)</w:t>
            </w:r>
          </w:p>
        </w:tc>
        <w:tc>
          <w:tcPr>
            <w:tcW w:w="4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(59,248)</w:t>
            </w: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(54,914)</w:t>
            </w:r>
          </w:p>
        </w:tc>
      </w:tr>
      <w:tr>
        <w:trPr>
          <w:trHeight w:val="223"/>
        </w:trPr>
        <w:tc>
          <w:tcPr>
            <w:tcW w:w="20" w:type="dxa"/>
            <w:vAlign w:val="bottom"/>
          </w:tcPr>
          <w:p>
            <w:pPr>
              <w:spacing w:after="0"/>
              <w:rPr>
                <w:sz w:val="19"/>
                <w:szCs w:val="19"/>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4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(240,020)</w:t>
            </w:r>
          </w:p>
        </w:tc>
        <w:tc>
          <w:tcPr>
            <w:tcW w:w="4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(227,210)</w:t>
            </w:r>
          </w:p>
        </w:tc>
        <w:tc>
          <w:tcPr>
            <w:tcW w:w="38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(260,658)</w:t>
            </w:r>
          </w:p>
        </w:tc>
      </w:tr>
      <w:tr>
        <w:trPr>
          <w:trHeight w:val="223"/>
        </w:trPr>
        <w:tc>
          <w:tcPr>
            <w:tcW w:w="20" w:type="dxa"/>
            <w:vAlign w:val="bottom"/>
          </w:tcPr>
          <w:p>
            <w:pPr>
              <w:spacing w:after="0"/>
              <w:rPr>
                <w:sz w:val="19"/>
                <w:szCs w:val="19"/>
                <w:color w:val="auto"/>
              </w:rPr>
            </w:pPr>
          </w:p>
        </w:tc>
        <w:tc>
          <w:tcPr>
            <w:tcW w:w="68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Total net premiums and claims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51,993</w:t>
            </w:r>
          </w:p>
        </w:tc>
        <w:tc>
          <w:tcPr>
            <w:tcW w:w="280" w:type="dxa"/>
            <w:vAlign w:val="bottom"/>
            <w:tcBorders>
              <w:top w:val="single" w:sz="8" w:color="CCFFC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138,224</w:t>
            </w:r>
          </w:p>
        </w:tc>
        <w:tc>
          <w:tcPr>
            <w:tcW w:w="260" w:type="dxa"/>
            <w:vAlign w:val="bottom"/>
            <w:tcBorders>
              <w:top w:val="single" w:sz="8" w:color="CCFFC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164,721</w:t>
            </w:r>
          </w:p>
        </w:tc>
        <w:tc>
          <w:tcPr>
            <w:tcW w:w="60" w:type="dxa"/>
            <w:vAlign w:val="bottom"/>
            <w:tcBorders>
              <w:top w:val="single" w:sz="8" w:color="CCFFCC"/>
            </w:tcBorders>
          </w:tcPr>
          <w:p>
            <w:pPr>
              <w:spacing w:after="0"/>
              <w:rPr>
                <w:sz w:val="19"/>
                <w:szCs w:val="19"/>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premiums increased 13.1% to US$480.3 million in 2010 from US$424.7 million in 2009. Gross premiums (including premium transfer and reserve adjustments) increased 23.5% to US$751.9 million in 2010 from US$608.8 million in 2009.</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Premiums for general insurance lines, which accounted for 44.4% of total premiums, increased 11.6% in 2010, mainly due to automobile premiums, which represented 24% of general insurance premiums in 2010 (24% in 2009) and which increased 13.1% from 2009. Other property and casualty premiums, which represented 53% (53% in 2009), increased 11.8% from 2009; and medical assistance which represented 20% (20% in 2009), increased 11.8% from 2009. We note a decrease (-2.9% compared to 2009) in premiums from the mandatory automobile line, SOAT, which represented 3% (4% in 2009) of total premiums.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Premiums for general insurance lines, which accounted for 49.1% of total premiums, increased 0.7% in 2009, mainly due to automobile premiums which represented 24% of general insurance premiums in 2009 (22% in 2008) and which increased 6.6% from 2008. Other property and casualty premiums, which represented 53% (57% in 2008), decreased 5.4% from 2008; and medical assistance which represented 20% (16% in 2008), increased 19.8% from 2008.</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Life Insurance lines, total direct premiums increased 46.5% in 2010 as compared to 2009, with a market share of 24.4%. This growth is in line with the life insurance industry average growth. All lines of business increased as compared to 2009. This 46.5% increase in total direct premiums was mainly due to a better performance in Individual Annuity (128.1%), Disability and Survivor (42.8%) and Credit Life (40.8%) lines. Individual Life products increased premiums in 16.8% with as compared to 2009, and represented 20.3% of total premiums. Group Life increased 11.0% as compared to 2009 and represented 13.9% of total premiums.</w:t>
      </w:r>
    </w:p>
    <w:p>
      <w:pPr>
        <w:spacing w:after="0" w:line="36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5" w:name="page86"/>
    <w:bookmarkEnd w:id="85"/>
    <w:p>
      <w:pPr>
        <w:ind w:right="80" w:firstLine="648"/>
        <w:spacing w:after="0" w:line="257" w:lineRule="auto"/>
        <w:rPr>
          <w:sz w:val="20"/>
          <w:szCs w:val="20"/>
          <w:color w:val="auto"/>
        </w:rPr>
      </w:pPr>
      <w:r>
        <w:rPr>
          <w:rFonts w:ascii="Arial" w:cs="Arial" w:eastAsia="Arial" w:hAnsi="Arial"/>
          <w:sz w:val="18"/>
          <w:szCs w:val="18"/>
          <w:color w:val="auto"/>
        </w:rPr>
        <w:t>Total direct premiums increased 5.9% in 2009 as compared to 2008, mainly due to a better performance in all lines of business except Annuities and Pension. Life products, which represented 26% of total premiums (23.3% in 2008), closed 15.8% above 2008. Group Life products increased premiums in 11% from 2008, and represented 18% of total premiums. Credit Life increased 14.7% as compared to 2008 and represented 12% of total premiums. The pension fund products, which represented 17% of life insurance premiums (19.8% in 2008) decreased 9.9% from 2008. Finally, the annuities line of business decreased 0.3% as compared to 2008.</w:t>
      </w:r>
    </w:p>
    <w:p>
      <w:pPr>
        <w:spacing w:after="0" w:line="21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Health insurance lines (19.5% of total premiums in 2010) increased by 16.9% from 2009, primarily due to an 16.5% increase in Regular insurance premiums, representing 88.5% of health insurance premiums (88.8% in 2009).</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Health insurance lines (20.6% of total premiums in 2009) increased in 2009 by 7.6% from 2008, mainly due to an 8.2% increase in regular insurance premiums, representing 88.8% of health insurance premiums during 2009 (88.2% in 2008).</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2010, net claims on insurance activities increased by 10.2% to US$315.6 million from US$286.5 million in 2009, mainly as a consequence of the business growth and the decrease in the net loss ratio on P&amp;C, health and life businesses.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2009, net claims on insurance activities decreased by 19.4% to US$286.5 million from US$341.9 million in 2008, mainly as a consequence of the decrease in the net loss ratio on P&amp;C, health and life businesses.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60" w:type="dxa"/>
            <w:vAlign w:val="bottom"/>
          </w:tcPr>
          <w:p>
            <w:pPr>
              <w:ind w:left="320"/>
              <w:spacing w:after="0"/>
              <w:rPr>
                <w:sz w:val="20"/>
                <w:szCs w:val="20"/>
                <w:color w:val="auto"/>
              </w:rPr>
            </w:pPr>
            <w:r>
              <w:rPr>
                <w:rFonts w:ascii="Arial" w:cs="Arial" w:eastAsia="Arial" w:hAnsi="Arial"/>
                <w:sz w:val="18"/>
                <w:szCs w:val="18"/>
                <w:i w:val="1"/>
                <w:iCs w:val="1"/>
                <w:color w:val="auto"/>
              </w:rPr>
              <w:t>Other Expenses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160" w:type="dxa"/>
            <w:vAlign w:val="bottom"/>
          </w:tcPr>
          <w:p>
            <w:pPr>
              <w:ind w:left="320"/>
              <w:spacing w:after="0"/>
              <w:rPr>
                <w:sz w:val="20"/>
                <w:szCs w:val="20"/>
                <w:color w:val="auto"/>
              </w:rPr>
            </w:pPr>
            <w:r>
              <w:rPr>
                <w:rFonts w:ascii="Arial" w:cs="Arial" w:eastAsia="Arial" w:hAnsi="Arial"/>
                <w:sz w:val="18"/>
                <w:szCs w:val="18"/>
                <w:color w:val="auto"/>
              </w:rPr>
              <w:t>The following table reflects the components of our other expenses: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370"/>
              <w:spacing w:after="0"/>
              <w:rPr>
                <w:sz w:val="20"/>
                <w:szCs w:val="20"/>
                <w:color w:val="auto"/>
              </w:rPr>
            </w:pPr>
            <w:r>
              <w:rPr>
                <w:rFonts w:ascii="Arial" w:cs="Arial" w:eastAsia="Arial" w:hAnsi="Arial"/>
                <w:sz w:val="18"/>
                <w:szCs w:val="18"/>
                <w:b w:val="1"/>
                <w:bCs w:val="1"/>
                <w:color w:val="auto"/>
                <w:w w:val="89"/>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i w:val="1"/>
                <w:iCs w:val="1"/>
                <w:color w:val="auto"/>
                <w:w w:val="92"/>
              </w:rPr>
              <w:t>(U.S. Dollars in thousands)</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365,201</w:t>
            </w:r>
          </w:p>
        </w:tc>
        <w:tc>
          <w:tcPr>
            <w:tcW w:w="3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6"/>
              </w:rPr>
              <w:t>US$</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467,116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568,004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269,291</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312,256</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341,123</w:t>
            </w: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57,369</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71,099</w:t>
            </w:r>
          </w:p>
        </w:tc>
        <w:tc>
          <w:tcPr>
            <w:tcW w:w="3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82,289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228,742</w:t>
            </w:r>
          </w:p>
        </w:tc>
        <w:tc>
          <w:tcPr>
            <w:tcW w:w="3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106,639</w:t>
            </w:r>
          </w:p>
        </w:tc>
        <w:tc>
          <w:tcPr>
            <w:tcW w:w="3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94,469</w:t>
            </w:r>
          </w:p>
        </w:tc>
      </w:tr>
      <w:tr>
        <w:trPr>
          <w:trHeight w:val="216"/>
        </w:trPr>
        <w:tc>
          <w:tcPr>
            <w:tcW w:w="61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other expenses and merger costs</w:t>
            </w: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920,603</w:t>
            </w:r>
          </w:p>
        </w:tc>
        <w:tc>
          <w:tcPr>
            <w:tcW w:w="180" w:type="dxa"/>
            <w:vAlign w:val="bottom"/>
            <w:shd w:val="clear" w:color="auto" w:fill="CCFFCC"/>
          </w:tcPr>
          <w:p>
            <w:pPr>
              <w:spacing w:after="0"/>
              <w:rPr>
                <w:sz w:val="18"/>
                <w:szCs w:val="18"/>
                <w:color w:val="auto"/>
              </w:rPr>
            </w:pPr>
          </w:p>
        </w:tc>
        <w:tc>
          <w:tcPr>
            <w:tcW w:w="380" w:type="dxa"/>
            <w:vAlign w:val="bottom"/>
            <w:shd w:val="clear" w:color="auto" w:fill="CCFFCC"/>
          </w:tcPr>
          <w:p>
            <w:pPr>
              <w:ind w:left="2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957,110</w:t>
            </w: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1,085,885</w:t>
            </w:r>
          </w:p>
        </w:tc>
      </w:tr>
      <w:tr>
        <w:trPr>
          <w:trHeight w:val="27"/>
        </w:trPr>
        <w:tc>
          <w:tcPr>
            <w:tcW w:w="616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Personnel expenses increased 21.6% in 2010 as compared to 2009, after a 27.9% decrease in 2009 as compared to 2008. The number of our personnel increased to 19,641 employees in 2010 from 20,148 in 2009, and increased from 19,896 in 2008. Considering only BCP, the number of personnel decreased to 16,148 employees in 2010 from 16,748 in 2009, and increased from 15,969 in 2008. The increase in other expenses during 2010 was due to significant increases in personnel expenses (salaries and employee benefits), and due to increase in depreciation and amortization expenses, principally for the acquisition of assets. The higher compensation expenses in 2010 was mainly due to compensation and benefits associated with Edyficar (we recorded only three months of such expenses in 2009). It was also caused by higher cost derived from managerial retention programs (stock options and stock awards) and the exchange rate variation (compensation expense was originally recorded in Nuevo Soles).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(which include taxes other than income taxes) increased 9.2% in 2010 compared to 2009, after increasing 16.0% compared to 2008. Higher expenses were also incurred in 2010 due to the base effect caused by the Edyficar acquisition (three months in 2009 only) and to the higher tax expenses and commissions paid by BCP agents.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increased 15.74% to US$82.3 million in 2010 from US$71.1 million in 2009. The increase in 2010 was primarily due to the amortization of the acquisitions and implementation of new software acquired, mainly SAP ERP.</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expenses decreased 14.5% to US$91.2 million in 2010, after a decrease of 53.2% in 2009, compared to 2008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translation result reflects exposure to devaluation of net monetary positions in Nuevo Soles. We recognized a US$24.1 million translation gain in 2010, a US$12.2 million translation gain in 2009, and a US$17.7 million translation loss in 2008. In 2008, translation losses were primarily due to gains recorded from exposure to the Nuevo Sol which weakened against the U.S. Dollar.</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are not subject to income taxes or taxes on capital gains, capital transfers or equity or estate duty under Bermuda law. However, some of our subsidiaries are subject to income tax and taxes on dividends paid to us, depending on the legislation of the jurisdictions in which they generate income.</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Peruvian subsidiaries, including BCP, are subject to corporate taxation on income under Peruvian tax law. The statutory income tax rate payable in Peru since 2004 is 30% of taxable income, which includes the result of exposure to inflation. An additional 4.1% withholding tax is applied on dividends, which we register as income tax based on the liquid amount received from BCP and PPS.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Peruvian tax legislation is applicable to legal entities established in Peru, and on an individual (not consolidated) basis. Our non-Peruvian subsidiaries are not subject to taxation in Peru and their assets are not included in the calculation of the Peruvian extraordinary tax on net assets.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there is corporate income tax in Bolivia, due to BCB’s ability to offset taxes paid other than income taxes from any income tax liability, no Bolivian income taxes have been payable.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expense paid by the subsidiaries increased to US$184.1 million in 2010 from US$138.5 million in 2009, which increased from US$109.5 million in 2008. Income tax growth in these periods reflects increases in our taxable income. Since 1994, we have paid the Peruvian income tax at the statutory rate. The effective tax rates in 2008, 2009 and 2010 were 22.87%, 21.54%, and 23.67%, respectively.</w:t>
      </w:r>
    </w:p>
    <w:p>
      <w:pPr>
        <w:spacing w:after="0" w:line="177"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2010, Credicorp had total assets of US$28.4 billion, increasing 29.1% compared to total assets of US$22.0 billion as of December 31, 2009. In 2010, cash and due from banks increased 123.7% due to higher amounts maintained with Peru’s central bank, the Banco Central de la Reserva del Perú (the BCRP or the Central Bank) (US$4.2 million). Investments decreased 24.6% due to a reduction in BCRP certificates of deposit and an increase in loans, net of provisions, which rose 24.3% due to corporate banking growth.</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2010, our total loans were US$14,375.4 million, which represented 49.1% of total assets. Loans, net of reserves for loan losses, were US$13,959.7 million. As of December 31, 2009, our total loans were US$11,585.6 million, which represented 52.6% of total assets, and net of reserves for loan losses, loans were US$11,231.3 million. From December 31, 2009 to December 31, 2010 our total loans increased by 24.1%, and net of loan loss reserves increased by 24.3%.</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total deposits with the Central Bank increased to US$6,308.0 million as of December 31, 2010 from US$2,107.6 million as of December 31, 2009. Our securities holdings (which include marketable securities and investments) decreased 24.6% to US$3,883.8 million as of December 31, 2010 from US$5,150.4 million as of December 31, 2009. The securities portfolio decrease in 2010 was primarily due to lower investments in BCRP certificates of deposits, which were replaced by time deposits in BCRP that explain the significant increase aforementioned.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2010, we had total liabilities of US$25.5 billion, a 30.6% increase from US$19.5 billion as of December 31, 2009. As of December 31, 2010, we had total deposits of US$18,068.1 million, a 28.3% increase from US$14,085.1 million on December 31, 2009.</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structured our funding strategy around maintaining a diversified deposit base. As of December 31, 2010, through BCP unconsolidated, we had 41.5% of total savings deposits in the Peruvian banking system, 40.7% of demand deposits and 36.3% of total deposits, the highest of any Peruvian bank in all three categories, according to the SBS. An important characteristic of our deposit base is that, as of December 31, 2010, it included 55.9% of the entire Peruvian banking system’s CTS deposits, increasing from 50.7% as of December 31, 2009, and higher to 51.9% as of December 31, 2008, according to SBS statistics. (CTS deposits, or Severance Indemnity Deposits (</w:t>
      </w:r>
      <w:r>
        <w:rPr>
          <w:rFonts w:ascii="Arial" w:cs="Arial" w:eastAsia="Arial" w:hAnsi="Arial"/>
          <w:sz w:val="17"/>
          <w:szCs w:val="17"/>
          <w:i w:val="1"/>
          <w:iCs w:val="1"/>
          <w:color w:val="auto"/>
        </w:rPr>
        <w:t>Compensación por Tiempo de Servicios</w:t>
      </w:r>
      <w:r>
        <w:rPr>
          <w:rFonts w:ascii="Arial" w:cs="Arial" w:eastAsia="Arial" w:hAnsi="Arial"/>
          <w:sz w:val="17"/>
          <w:szCs w:val="17"/>
          <w:color w:val="auto"/>
        </w:rPr>
        <w:t>), are funded by companies in the name of their employees. CTS deposits amount to one month’s salary per year and may be withdrawn by the employee only upon termination of employment or upon transfer to another bank, subject to certain exceptions.) We believe that we have traditionally attracted a high percentage of the savings and CTS deposit market because of our reputation as a sound institution, an extensive branch network and the quality of our service. The decrease is due to the fact that new financial institutions have taken a small market share from BCP for this type of deposit.</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400" w:type="dxa"/>
            <w:vAlign w:val="bottom"/>
          </w:tcPr>
          <w:p>
            <w:pPr>
              <w:ind w:left="360"/>
              <w:spacing w:after="0"/>
              <w:rPr>
                <w:sz w:val="20"/>
                <w:szCs w:val="20"/>
                <w:color w:val="auto"/>
              </w:rPr>
            </w:pPr>
            <w:r>
              <w:rPr>
                <w:rFonts w:ascii="Arial" w:cs="Arial" w:eastAsia="Arial" w:hAnsi="Arial"/>
                <w:sz w:val="18"/>
                <w:szCs w:val="18"/>
                <w:b w:val="1"/>
                <w:bCs w:val="1"/>
                <w:color w:val="auto"/>
              </w:rPr>
              <w:t>Liquidity and Capital Resources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36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88"/>
              </w:rPr>
              <w:t>As of December 31,</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i w:val="1"/>
                <w:iCs w:val="1"/>
                <w:color w:val="auto"/>
              </w:rPr>
              <w:t>(U.S. Dollars in thousands, except percentages)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539,498</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528,011</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516,837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Legal and other reserves</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770,216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1,053,494</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1,385,098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45,894</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104,052</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Accepted provisions for loan losses</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104,635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114,104</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42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278,688</w:t>
            </w:r>
          </w:p>
        </w:tc>
        <w:tc>
          <w:tcPr>
            <w:tcW w:w="10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683,222</w:t>
            </w:r>
          </w:p>
        </w:tc>
        <w:tc>
          <w:tcPr>
            <w:tcW w:w="4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400" w:type="dxa"/>
            <w:vAlign w:val="bottom"/>
            <w:tcBorders>
              <w:top w:val="single" w:sz="8" w:color="CCFFCC"/>
            </w:tcBorders>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1,738,931</w:t>
            </w:r>
          </w:p>
        </w:tc>
        <w:tc>
          <w:tcPr>
            <w:tcW w:w="18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2,482,883</w:t>
            </w:r>
          </w:p>
        </w:tc>
        <w:tc>
          <w:tcPr>
            <w:tcW w:w="26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2,799,849</w:t>
            </w: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w w:val="98"/>
              </w:rPr>
              <w:t>Less: investment in multilateral organizations, banks and insurance companies and</w:t>
            </w:r>
          </w:p>
        </w:tc>
        <w:tc>
          <w:tcPr>
            <w:tcW w:w="4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(134,216)</w:t>
            </w:r>
          </w:p>
        </w:tc>
        <w:tc>
          <w:tcPr>
            <w:tcW w:w="10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(261,749)</w:t>
            </w:r>
          </w:p>
        </w:tc>
        <w:tc>
          <w:tcPr>
            <w:tcW w:w="40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ind w:left="40"/>
              <w:spacing w:after="0"/>
              <w:rPr>
                <w:sz w:val="20"/>
                <w:szCs w:val="20"/>
                <w:color w:val="auto"/>
              </w:rPr>
            </w:pPr>
            <w:r>
              <w:rPr>
                <w:rFonts w:ascii="Arial" w:cs="Arial" w:eastAsia="Arial" w:hAnsi="Arial"/>
                <w:sz w:val="18"/>
                <w:szCs w:val="18"/>
                <w:color w:val="auto"/>
              </w:rPr>
              <w:t>Total Regulatory Capital (1)</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1,604,715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2,221,134</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2,391,324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gridSpan w:val="2"/>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Financial Entities Capital Ratio</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Regulatory Capital attributable to Financial Entities (1)</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1,520,318</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2,033,401</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2,157,864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Risk-Weighted Assets From Financial Entities (3)</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12,335,063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14,200,280</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17,248,656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Ratio for Financial Entities (1) / (3)</w:t>
            </w: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14.32%</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Minimum Regulatory Capital Required (MRCR)(2)</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MRCR for Financial Entities (3)</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1,266,502</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1,616,368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Insurance Entities (3)</w:t>
            </w: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137,766</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149,808</w:t>
            </w: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184,330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MRCR for Other Entities (3)</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80,921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144,494</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42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1,341,151</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1,560,804</w:t>
            </w:r>
          </w:p>
        </w:tc>
        <w:tc>
          <w:tcPr>
            <w:tcW w:w="26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1,560,804</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160"/>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4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119.65%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142.31%</w:t>
            </w:r>
          </w:p>
        </w:tc>
        <w:tc>
          <w:tcPr>
            <w:tcW w:w="4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7" w:lineRule="exact"/>
        <w:rPr>
          <w:sz w:val="20"/>
          <w:szCs w:val="20"/>
          <w:color w:val="auto"/>
        </w:rPr>
      </w:pPr>
    </w:p>
    <w:p>
      <w:pPr>
        <w:ind w:left="340" w:right="380" w:hanging="332"/>
        <w:spacing w:after="0" w:line="277"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Minimum Regulatory Capital Required, or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have a MRCR of 9.5% of the Risk-Weighted Assets (or RWA). For ASHC (Cayman Islands), the MRCR is 12%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growth of our deposit base over the years has enabled us to significantly increase our lending activity. BCP is subject to SBS Resolution No. 472-2001, enacted in June 2001,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average daily ratios during the month of December 2010 were 64.40% and 36.80% for Nuevos Soles and foreign exchange-based transactions, respectively, demonstrating our continuing excess liquidity.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interest-bearing deposits at their maturity is a key factor in determining liquidity requirements, as well as the exposure to interest and exchange rate risks. Our principal source of funding is customer deposits with BCP’s retail banking group and ASHC’s private banking group, and premiums and amounts earned on invested assets at PPS. We believe that funds from our deposit-taking operations generally will continue to meet our liquidity needs for the foreseeable future.</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BCP’s retail banking group has developed a diversified and stable deposit base and its private banking group has developed a stable deposit base that, in each case, provides us with a low-cost source of funding. This deposit base has traditionally been one of our greatest strengths. The deposit gathering strategy has focused on products considered as BCP’s core deposits: demand deposits, savings, time deposits and CTS deposits. Other sources of funds and liquidity, which are mostly short- and long-term borrowings from correspondent banks and other financial institutions, issued bonds, and subordinated debt, are of a considerably lower significance compared to our core deposits.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12 and 13 to the Credicorp Consolidated Financial Statements.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core deposits, other deposits and other sources of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0"/>
              </w:rPr>
              <w:t>At December 31,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80" w:type="dxa"/>
            <w:vAlign w:val="bottom"/>
            <w:gridSpan w:val="8"/>
          </w:tcPr>
          <w:p>
            <w:pPr>
              <w:jc w:val="center"/>
              <w:ind w:right="62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p>
        </w:tc>
        <w:tc>
          <w:tcPr>
            <w:tcW w:w="4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Demand deposits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4,872,277</w:t>
            </w:r>
          </w:p>
        </w:tc>
        <w:tc>
          <w:tcPr>
            <w:tcW w:w="3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4,556,746</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5,381,392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3,539,665</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4,244,665</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1,039,887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1,069,506</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1,313,122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8,880,903</w:t>
            </w: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2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9,165,917</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11,389,265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Time deposits</w:t>
            </w:r>
          </w:p>
        </w:tc>
        <w:tc>
          <w:tcPr>
            <w:tcW w:w="4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4,856,112</w:t>
            </w:r>
          </w:p>
        </w:tc>
        <w:tc>
          <w:tcPr>
            <w:tcW w:w="4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4,751,861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6,464,769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42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140,013</w:t>
            </w:r>
          </w:p>
        </w:tc>
        <w:tc>
          <w:tcPr>
            <w:tcW w:w="3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120,932</w:t>
            </w:r>
          </w:p>
        </w:tc>
        <w:tc>
          <w:tcPr>
            <w:tcW w:w="3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163,680</w:t>
            </w:r>
          </w:p>
        </w:tc>
        <w:tc>
          <w:tcPr>
            <w:tcW w:w="1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13,877,028</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14,038,710</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18,017,713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1,165,878</w:t>
            </w:r>
          </w:p>
        </w:tc>
        <w:tc>
          <w:tcPr>
            <w:tcW w:w="3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1,162,319</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2,236,390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Issued bonds</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1,928,106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2,369,483</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2,975,667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16,971,012</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17,570,512</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23,229,770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4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64.0%</w:t>
            </w:r>
          </w:p>
        </w:tc>
        <w:tc>
          <w:tcPr>
            <w:tcW w:w="4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65.3%</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4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52.3%</w:t>
            </w:r>
          </w:p>
        </w:tc>
        <w:tc>
          <w:tcPr>
            <w:tcW w:w="4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52.2%</w:t>
            </w:r>
          </w:p>
        </w:tc>
        <w:tc>
          <w:tcPr>
            <w:tcW w:w="4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49.0%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BCP is required to keep deposits with the Central Bank as legal reserves, determined as a percentage of the deposits and other liabilities owed to its clients. The requirement is currently approximately 9.0% of Nuevos Sole-denominated deposits and U.S. Dollar-denominated deposits, and an additional reserve requirement of 30% for the U.S. Dollar-denominated deposits.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Overview—(11) Supervision and Regulation—(ii) BCP—Central Bank Reserve Requirements.” Legal reserves are meant to ensure the availability of liquid funds to cover withdrawals of deposits. Additionally, we have significant investments of excess liquid funds in short-term Central Bank certificates of deposits.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deposits at the Central Bank and our investments in Central Bank certificates: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At December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2007</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60" w:type="dxa"/>
            <w:vAlign w:val="bottom"/>
            <w:gridSpan w:val="8"/>
          </w:tcPr>
          <w:p>
            <w:pPr>
              <w:jc w:val="center"/>
              <w:ind w:right="580"/>
              <w:spacing w:after="0"/>
              <w:rPr>
                <w:sz w:val="20"/>
                <w:szCs w:val="20"/>
                <w:color w:val="auto"/>
              </w:rPr>
            </w:pPr>
            <w:r>
              <w:rPr>
                <w:rFonts w:ascii="Arial" w:cs="Arial" w:eastAsia="Arial" w:hAnsi="Arial"/>
                <w:sz w:val="18"/>
                <w:szCs w:val="18"/>
                <w:i w:val="1"/>
                <w:iCs w:val="1"/>
                <w:color w:val="auto"/>
                <w:w w:val="90"/>
              </w:rPr>
              <w:t>(U.S. Dollars in thousands, except percentages)</w:t>
            </w: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4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420" w:type="dxa"/>
            <w:vAlign w:val="bottom"/>
          </w:tcPr>
          <w:p>
            <w:pPr>
              <w:ind w:left="20"/>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1,952,952</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2,107,635   US$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6,307,977</w:t>
            </w: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Certificates of deposits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1,914,707</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1,548,715</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363,850</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BCRP-Repo Transactions</w:t>
            </w:r>
          </w:p>
        </w:tc>
        <w:tc>
          <w:tcPr>
            <w:tcW w:w="4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294,235</w:t>
            </w:r>
          </w:p>
        </w:tc>
        <w:tc>
          <w:tcPr>
            <w:tcW w:w="4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funds at Central Bank</w:t>
            </w: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4,161,894</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600" w:type="dxa"/>
            <w:vAlign w:val="bottom"/>
            <w:gridSpan w:val="3"/>
            <w:shd w:val="clear" w:color="auto" w:fill="CCFFCC"/>
          </w:tcPr>
          <w:p>
            <w:pPr>
              <w:ind w:left="200"/>
              <w:spacing w:after="0"/>
              <w:rPr>
                <w:sz w:val="20"/>
                <w:szCs w:val="20"/>
                <w:color w:val="auto"/>
              </w:rPr>
            </w:pPr>
            <w:r>
              <w:rPr>
                <w:rFonts w:ascii="Arial" w:cs="Arial" w:eastAsia="Arial" w:hAnsi="Arial"/>
                <w:sz w:val="18"/>
                <w:szCs w:val="18"/>
                <w:b w:val="1"/>
                <w:bCs w:val="1"/>
                <w:color w:val="auto"/>
              </w:rPr>
              <w:t>3,656,350   US$</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6,671,827</w:t>
            </w: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r>
      <w:tr>
        <w:trPr>
          <w:trHeight w:val="566"/>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118"/>
        </w:trPr>
        <w:tc>
          <w:tcPr>
            <w:tcW w:w="20" w:type="dxa"/>
            <w:vAlign w:val="bottom"/>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December 31, 2010, we had uncommitted credit lines with various banks, including long-term facilities that are mainly used for project financing, of which no significant amount was drawn down. We have also received long term funding from Cofide (</w:t>
      </w:r>
      <w:r>
        <w:rPr>
          <w:rFonts w:ascii="Arial" w:cs="Arial" w:eastAsia="Arial" w:hAnsi="Arial"/>
          <w:sz w:val="16"/>
          <w:szCs w:val="16"/>
          <w:i w:val="1"/>
          <w:iCs w:val="1"/>
          <w:color w:val="auto"/>
        </w:rPr>
        <w:t>Corporación Financiera de Desarrollo</w:t>
      </w:r>
      <w:r>
        <w:rPr>
          <w:rFonts w:ascii="Arial" w:cs="Arial" w:eastAsia="Arial" w:hAnsi="Arial"/>
          <w:sz w:val="16"/>
          <w:szCs w:val="16"/>
          <w:color w:val="auto"/>
        </w:rPr>
        <w:t xml:space="preserve"> </w:t>
      </w:r>
      <w:r>
        <w:rPr>
          <w:rFonts w:ascii="Arial" w:cs="Arial" w:eastAsia="Arial" w:hAnsi="Arial"/>
          <w:sz w:val="16"/>
          <w:szCs w:val="16"/>
          <w:i w:val="1"/>
          <w:iCs w:val="1"/>
          <w:color w:val="auto"/>
        </w:rPr>
        <w:t>S.A.</w:t>
      </w:r>
      <w:r>
        <w:rPr>
          <w:rFonts w:ascii="Arial" w:cs="Arial" w:eastAsia="Arial" w:hAnsi="Arial"/>
          <w:sz w:val="16"/>
          <w:szCs w:val="16"/>
          <w:color w:val="auto"/>
        </w:rPr>
        <w:t>, a Peruvian government-owned development bank), Corporación Andina de Fomento (or CAF), syndicated loans, and other international lenders.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relating to these credit lines include import and export transactions and average annual rates (including Libor) vary from 0.02% to 12.0%. As of December 31, 2009, we maintain US$3,559.1 million in such credit lines, secured by the collection of BCP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 These funds have maturities of up to seven years.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13(a) and (b) to the Credicorp Consolidated Financial Statements. As of December 31, 2010 borrowed funds due to banks and correspondents amounted to US$2,244.5 million as compared to US$1,167.4 million in 2009 and US$1,180.0 million in 2008.</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2010, BCP had US$5.0 million of outstanding mortgage bonds and notes (US$10.5 million in 2009 and US$15.3 million in 2008). A source of funds specific to leasing operations are leasing bonds issued by lease financing companies, the terms of which are specified in the Peruvian leasing regulations. As of December 31, 2010, BCP had US$134.4 million of outstanding leasing bonds (US$188.3 million in 2009 and US$217.9 million in 2008). These bonds have maturities of up to eight years and bear higher interest than 360-day time deposits (6.81% versus 4.23%).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to the Credicorp Consolidated Financial Statements for a detailed breakdown of our issued bonds.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The following table presents our issued bonds:</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(U.S.</w:t>
            </w: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1"/>
              </w:rPr>
              <w:t>Dollars in millions)</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4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520" w:type="dxa"/>
            <w:vAlign w:val="bottom"/>
          </w:tcPr>
          <w:p>
            <w:pPr>
              <w:jc w:val="right"/>
              <w:spacing w:after="0"/>
              <w:rPr>
                <w:sz w:val="20"/>
                <w:szCs w:val="20"/>
                <w:color w:val="auto"/>
              </w:rPr>
            </w:pPr>
            <w:r>
              <w:rPr>
                <w:rFonts w:ascii="Arial" w:cs="Arial" w:eastAsia="Arial" w:hAnsi="Arial"/>
                <w:sz w:val="18"/>
                <w:szCs w:val="18"/>
                <w:color w:val="auto"/>
              </w:rPr>
              <w:t>130.6</w:t>
            </w:r>
          </w:p>
        </w:tc>
        <w:tc>
          <w:tcPr>
            <w:tcW w:w="4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192.3</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Leasing bonds</w:t>
            </w:r>
          </w:p>
        </w:tc>
        <w:tc>
          <w:tcPr>
            <w:tcW w:w="42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228.4</w:t>
            </w: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Subordinated bonds</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113.8</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Subordinated debt</w:t>
            </w:r>
          </w:p>
        </w:tc>
        <w:tc>
          <w:tcPr>
            <w:tcW w:w="42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w:t>
            </w:r>
          </w:p>
        </w:tc>
      </w:tr>
      <w:tr>
        <w:trPr>
          <w:trHeight w:val="234"/>
        </w:trPr>
        <w:tc>
          <w:tcPr>
            <w:tcW w:w="20" w:type="dxa"/>
            <w:vAlign w:val="bottom"/>
          </w:tcPr>
          <w:p>
            <w:pPr>
              <w:spacing w:after="0"/>
              <w:rPr>
                <w:sz w:val="20"/>
                <w:szCs w:val="20"/>
                <w:color w:val="auto"/>
              </w:rPr>
            </w:pPr>
          </w:p>
        </w:tc>
        <w:tc>
          <w:tcPr>
            <w:tcW w:w="7520" w:type="dxa"/>
            <w:vAlign w:val="bottom"/>
          </w:tcPr>
          <w:p>
            <w:pPr>
              <w:ind w:left="320"/>
              <w:spacing w:after="0"/>
              <w:rPr>
                <w:sz w:val="20"/>
                <w:szCs w:val="20"/>
                <w:color w:val="auto"/>
              </w:rPr>
            </w:pPr>
            <w:r>
              <w:rPr>
                <w:rFonts w:ascii="Arial" w:cs="Arial" w:eastAsia="Arial" w:hAnsi="Arial"/>
                <w:sz w:val="18"/>
                <w:szCs w:val="18"/>
                <w:b w:val="1"/>
                <w:bCs w:val="1"/>
                <w:color w:val="auto"/>
              </w:rPr>
              <w:t>Total issuance</w:t>
            </w: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359.0</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556.1</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817.1</w:t>
            </w:r>
          </w:p>
        </w:tc>
      </w:tr>
    </w:tbl>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2006 and October 2007, BCP, through its Panama branch, issued on the international market subordinated negotiable certificates notes in the aggregate amount of US$120.0 million due 2021 and US$161.3 million due 2022. These notes accrue at a fixed annual interest rate of 6.95% and 7.17%, respectively, for the first 10 years with interest payments every six months. After the first 10 years, the interest rate will change to a variable interest rate of Libor plus 2.79% and as established by the market interest rate of the Peruvian government-issued sovereign bonds maturing in 2037 plus 150 basis points, respectively, with quarterly and semi-annual payments. At the end of the first 10 years, the Bank may redeem 100% of the debt without penalty. These subordinated debt certificates include certain financial and operating covenants. In our management’s opinion, BCP is not in violation of any of these covenants as of the date of the consolidated balance sheet date.</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2009, BCP through its Panama branch issued Junior Subordinated Notes for US$250.0 million in the international market with principal maturity on 2069. This debt accrues a fixed annual interest rate of 9.75 percent, for the first 10 years, with semiannual payments. After the first ten</w:t>
      </w:r>
    </w:p>
    <w:p>
      <w:pPr>
        <w:jc w:val="both"/>
        <w:ind w:firstLine="8"/>
        <w:spacing w:after="0" w:line="252" w:lineRule="auto"/>
        <w:tabs>
          <w:tab w:leader="none" w:pos="35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years, in November 2019, interest rate will become variable, Libor 3 months plus 816.7 basis points, with quarterly payments; at that date and on any interest payment date, BCP can redeem 100 percent of the notes, without penalties and after fulfilling certain requirements. Interest payments are non-cumulative such that, if an interest payment is not made in full or cancelled as set forth due to BCP’s rights to cancel interest payments, a mandatory prohibition established by SBS, or if it is determined that BCP is in non-compliance with applicable minimum regulatory capital, then the unpaid interest will not accrue or be due and payable at any time and shall not constitute an acceleration event. In those cases, BCP will not, and will not cause its majority owned subsidiaries to declare, pay or distribute a dividend for a period of time established since the interest payments are not cancelled. This debt does not have collateral and qualifies as Tier 1 capital for SBS regulations.</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BCP Emisiones Latam 1 S.A., a subsidiary of Credicorp, issued corporate bonds (Series A) for 2.7 million “Chilean Unidades de Fomento - UF”. Credicorp and BCP Emisiones Latam 1 S.A. can redeem 100 percent of the bonds only if the legal reserve funds legislation and tax law, related to income tax and value added tax, change in Peru, Panama or Chile. This debt, subject to foreign exchange risk, has been hedged through CCS; as a result, these bonds were economically converted to US Dollars.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2010, BCP through its Panama branch issued senior bonds for US$800.0 million in the international market with principal maturity on 2020. This debt accrues at a fixed annual interest rate of 5.38% with semiannual interest payments.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policies that we follow to ensure sufficient liquidity are the active management of interest rates and the active monitoring of market trends, in order to identify and provide for changes in the supply of deposits or the demand for loans.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184" w:lineRule="exact"/>
        <w:rPr>
          <w:sz w:val="20"/>
          <w:szCs w:val="20"/>
          <w:color w:val="auto"/>
        </w:rPr>
      </w:pPr>
    </w:p>
    <w:p>
      <w:pPr>
        <w:ind w:left="660" w:right="6580" w:hanging="652"/>
        <w:spacing w:after="0" w:line="501"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that 2011 will show a positive economic trend; however, the international environment still suggests some uncertainty. In particular, we expect that financial income will increase, mainly as a result of prioritizing retail operations with individuals and small companies, as well as improving strategies followed in 2009 and 2010. In addition, credit risk is expected to remain low despite planned positive loan evolution and higher provision due to higher volume of loan portfolio. Furthermore, we plan to invest mainly in systems in order to improve BCP’s network to serve clients and optimize processes.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important factors to consider are the pressure on consumer protection regulation and elections in local, regional and central government authorities, which could impact our business in Peru.</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Bolivia, we expect that BCB will maintain its profitability, although the political and economic environment, which involves a high level of uncertainty, is an important factor in this expectation.</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that in 2011, ASHC will maintain its low-risk investment strategy and overall good performance as that achieved in 2010. We expect continued growth of the assets under management, given the high quality service we offer.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insurance business, we expect to raise the profitability of each retail product sold in branches. The insurance business continues to grow and is supported by the continued decrease in loss ratio experienced in the industry. However, as with our banking business, there is pressure on consumer protection regulation and the elections in local, regional and central government authorities could impact our business in Peru.</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Please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Information—(D) Risk Factors” and the cautionary statement regarding forward looking information.</w:t>
      </w:r>
    </w:p>
    <w:p>
      <w:pPr>
        <w:spacing w:after="0" w:line="221"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various contractual obligations as liabilities in our financial statements. We do not recognize other contractual arrangements, such as contingent credits contracts, as liabilities in our financial statements. These other contractual arrangements are required to be registered in off-balance sheet accounts. We enter into these off-balance sheet arrangements in the ordinary course of business in order to provide support to our clients and hedge some risks in our balance sheet and use guarantees, letters of credit, derivatives and swaps.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The following table reflects our off-balance sheet arrangements as of December 31, 2008, 2009 and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b w:val="1"/>
                <w:bCs w:val="1"/>
                <w:color w:val="auto"/>
                <w:w w:val="88"/>
              </w:rPr>
              <w:t>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420" w:type="dxa"/>
            <w:vAlign w:val="bottom"/>
          </w:tcPr>
          <w:p>
            <w:pPr>
              <w:ind w:left="2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1,506,506</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2,108,761</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249,396</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419,374</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417,011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CCFFC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4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1,755,902</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2,528,135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3,135,211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Responsibilities under credit line agreements</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1,234,964</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1,557,674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2,449,807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20"/>
                <w:szCs w:val="20"/>
                <w:color w:val="auto"/>
              </w:rPr>
            </w:pPr>
            <w:r>
              <w:rPr>
                <w:rFonts w:ascii="Arial" w:cs="Arial" w:eastAsia="Arial" w:hAnsi="Arial"/>
                <w:sz w:val="18"/>
                <w:szCs w:val="18"/>
                <w:color w:val="auto"/>
              </w:rPr>
              <w:t>Forward and options, net</w:t>
            </w:r>
          </w:p>
        </w:tc>
        <w:tc>
          <w:tcPr>
            <w:tcW w:w="4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627,600</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(54,011</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(856,619)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Swap contracts (notional amount)</w:t>
            </w:r>
          </w:p>
        </w:tc>
        <w:tc>
          <w:tcPr>
            <w:tcW w:w="4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2,670,332</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3,156,013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6,288,798</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7,187,811</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7,311,808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its business, our banking subsidiaries are party to transactions with off-balance sheet risk. These transactions expose them to additional credit risks than those amounts recognized in the consolidated balance sheets.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6(a) to the Credicorp Consolidated Financial Statements),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December 31, 2010 and 2009, the nominal amounts for forward currency purchase and sale agreements were approximately US$2,628.2 million and US$2,614.4 million, respectively, which in general have maturities of less than a year.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agreements are entered into to satisfy client requirements and are recognized in the consolidated financial statements at their fair value. As of December 31, 2010, the forward contracts net position is an overbuy of U.S. Dollars of approximately US$960.2 million (overbuy of approximately US$78.4 million as of December 31, 2009).</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rate and currency swaps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2010, the notional amount of open interest rate and currency swap contracts was approximately US$2,217.1 million (approximately US$2,597.1 million as of December 31, 2009).</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Cross-currency swap derivative contracts involve the exchange of interest payments based on two different currency principal balances and referenced interest rates. They generally also include the exchange of principal amounts at the start and/or end of the contract. As of December 31, 2010, the notional amount of cross-currency swap contracts were approximately US$252.9 million (approximately US$558.9 million as of December 31, 2009).</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December 31, 2010, the fair values of the asset and liability forward-exchange contracts and interest rate and cross-currency swaps amounted approximately to US$84.9 million and US$136.7 million, respectively (approximately US$97.3 million and US$167.8 million as of December 31, 2009) and are included under the caption “Other assets and other liabilities” of the consolidated balance sheets,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11(b) to the Credicorp Consolidated Financial Statements.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Credicorp enters into various contractual obligations that may require future cash payments. The following table summarizes our contractual obligations by remaining maturity as of December 31, 2010.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 Introduction – Review of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w w:val="90"/>
              </w:rPr>
              <w:t>Payments due by period</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center"/>
              <w:ind w:right="560"/>
              <w:spacing w:after="0" w:line="198" w:lineRule="exact"/>
              <w:rPr>
                <w:sz w:val="20"/>
                <w:szCs w:val="20"/>
                <w:color w:val="auto"/>
              </w:rPr>
            </w:pPr>
            <w:r>
              <w:rPr>
                <w:rFonts w:ascii="Arial" w:cs="Arial" w:eastAsia="Arial" w:hAnsi="Arial"/>
                <w:sz w:val="18"/>
                <w:szCs w:val="18"/>
                <w:b w:val="1"/>
                <w:bCs w:val="1"/>
                <w:color w:val="auto"/>
                <w:w w:val="93"/>
              </w:rPr>
              <w:t>Total at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Less than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More than</w:t>
            </w:r>
          </w:p>
        </w:tc>
      </w:tr>
      <w:tr>
        <w:trPr>
          <w:trHeight w:val="241"/>
        </w:trPr>
        <w:tc>
          <w:tcPr>
            <w:tcW w:w="4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5"/>
              </w:rPr>
              <w:t>1 year</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12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3–5 years</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r>
      <w:tr>
        <w:trPr>
          <w:trHeight w:val="216"/>
        </w:trPr>
        <w:tc>
          <w:tcPr>
            <w:tcW w:w="4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0" w:type="dxa"/>
            <w:vAlign w:val="bottom"/>
            <w:gridSpan w:val="6"/>
          </w:tcPr>
          <w:p>
            <w:pPr>
              <w:ind w:left="760"/>
              <w:spacing w:after="0"/>
              <w:rPr>
                <w:sz w:val="20"/>
                <w:szCs w:val="20"/>
                <w:color w:val="auto"/>
              </w:rPr>
            </w:pPr>
            <w:r>
              <w:rPr>
                <w:rFonts w:ascii="Arial" w:cs="Arial" w:eastAsia="Arial" w:hAnsi="Arial"/>
                <w:sz w:val="18"/>
                <w:szCs w:val="18"/>
                <w:i w:val="1"/>
                <w:iCs w:val="1"/>
                <w:color w:val="auto"/>
              </w:rPr>
              <w:t>(U.S. Dollars 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1,957,166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1,240,312</w:t>
            </w: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693,506</w:t>
            </w:r>
          </w:p>
        </w:tc>
        <w:tc>
          <w:tcPr>
            <w:tcW w:w="5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17,859</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5,489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145,984</w:t>
            </w:r>
          </w:p>
        </w:tc>
        <w:tc>
          <w:tcPr>
            <w:tcW w:w="3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39,927</w:t>
            </w:r>
          </w:p>
        </w:tc>
        <w:tc>
          <w:tcPr>
            <w:tcW w:w="3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22,445</w:t>
            </w:r>
          </w:p>
        </w:tc>
        <w:tc>
          <w:tcPr>
            <w:tcW w:w="5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23,568</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60,044</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133,240</w:t>
            </w:r>
          </w:p>
        </w:tc>
        <w:tc>
          <w:tcPr>
            <w:tcW w:w="3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133,240</w:t>
            </w:r>
          </w:p>
        </w:tc>
        <w:tc>
          <w:tcPr>
            <w:tcW w:w="3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Time deposits</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6,464,769</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6,178,130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244,425</w:t>
            </w:r>
          </w:p>
        </w:tc>
        <w:tc>
          <w:tcPr>
            <w:tcW w:w="5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42,214</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64,224</w:t>
            </w:r>
          </w:p>
        </w:tc>
        <w:tc>
          <w:tcPr>
            <w:tcW w:w="3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14,113</w:t>
            </w:r>
          </w:p>
        </w:tc>
        <w:tc>
          <w:tcPr>
            <w:tcW w:w="3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19,517</w:t>
            </w:r>
          </w:p>
        </w:tc>
        <w:tc>
          <w:tcPr>
            <w:tcW w:w="5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13,653</w:t>
            </w:r>
          </w:p>
        </w:tc>
        <w:tc>
          <w:tcPr>
            <w:tcW w:w="3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16,941</w:t>
            </w:r>
          </w:p>
        </w:tc>
      </w:tr>
      <w:tr>
        <w:trPr>
          <w:trHeight w:val="234"/>
        </w:trPr>
        <w:tc>
          <w:tcPr>
            <w:tcW w:w="40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r>
              <w:rPr>
                <w:rFonts w:ascii="Arial" w:cs="Arial" w:eastAsia="Arial" w:hAnsi="Arial"/>
                <w:sz w:val="18"/>
                <w:szCs w:val="18"/>
                <w:b w:val="1"/>
                <w:bCs w:val="1"/>
                <w:color w:val="auto"/>
                <w:w w:val="91"/>
              </w:rPr>
              <w:t>US$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8,765,383</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7,605,722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979,893</w:t>
            </w:r>
          </w:p>
        </w:tc>
        <w:tc>
          <w:tcPr>
            <w:tcW w:w="54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97,294</w:t>
            </w:r>
          </w:p>
        </w:tc>
        <w:tc>
          <w:tcPr>
            <w:tcW w:w="340" w:type="dxa"/>
            <w:vAlign w:val="bottom"/>
          </w:tcPr>
          <w:p>
            <w:pPr>
              <w:spacing w:after="0"/>
              <w:rPr>
                <w:sz w:val="20"/>
                <w:szCs w:val="20"/>
                <w:color w:val="auto"/>
              </w:rPr>
            </w:pPr>
            <w:r>
              <w:rPr>
                <w:rFonts w:ascii="Arial" w:cs="Arial" w:eastAsia="Arial" w:hAnsi="Arial"/>
                <w:sz w:val="18"/>
                <w:szCs w:val="18"/>
                <w:b w:val="1"/>
                <w:bCs w:val="1"/>
                <w:color w:val="auto"/>
                <w:w w:val="91"/>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82,474</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Borrowed funds includes two syndicated loans and various bilateral loans, primarily with foreign financial institutions.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One syndicated loan, in the amount of US$350.0 million as of December 31, 2010, matures in October 2013, with semiannual principal and interest payments. This loan has fixed interest rates, at 2.25 percent for the first six month period and six month Libor plus 1.75 percent for the subsequent six month periods. The second syndicated loan, with an outstanding principal amount of US$136.7 million as of December 31, 2010, matures in March 2011. This loan has a variable interest rate of Libor plus 0.75 percent during 2010 and Libor plus 0.85 percent during 2011. However, we have hedged this second syndicated loan through interest rate swaps (IRS) for the same notional amount and maturities; as a result, this loan was economically converted to fixed rate.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11(b) to the Credicorp Consolidated Financial Statements.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our management’s opinion, are being complied with at the consolidated balance sheet dates.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international funds and promotional credit lines include standard covenants related to the compliance with financial ratios, use of funds and other administrative matters. In our management’s opinion, these covenants do not limit our operations and we have fully complied with them as of the consolidated balance sheet dates.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deposits and obligations are widely diversified with no significant concentrations.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3" w:name="page94"/>
    <w:bookmarkEnd w:id="93"/>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660" w:right="8120" w:hanging="652"/>
        <w:spacing w:after="0" w:line="503"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i w:val="1"/>
          <w:iCs w:val="1"/>
          <w:color w:val="auto"/>
        </w:rPr>
        <w:t>Board of Directors</w:t>
      </w: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sets forth our current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340" w:type="dxa"/>
            <w:vAlign w:val="bottom"/>
          </w:tcPr>
          <w:p>
            <w:pPr>
              <w:spacing w:after="0"/>
              <w:rPr>
                <w:sz w:val="20"/>
                <w:szCs w:val="20"/>
                <w:color w:val="auto"/>
              </w:rPr>
            </w:pPr>
          </w:p>
        </w:tc>
        <w:tc>
          <w:tcPr>
            <w:tcW w:w="39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Dionisio Romero Paoletti</w:t>
            </w:r>
          </w:p>
        </w:tc>
        <w:tc>
          <w:tcPr>
            <w:tcW w:w="360" w:type="dxa"/>
            <w:vAlign w:val="bottom"/>
            <w:shd w:val="clear" w:color="auto" w:fill="CCFFCC"/>
          </w:tcPr>
          <w:p>
            <w:pPr>
              <w:spacing w:after="0"/>
              <w:rPr>
                <w:sz w:val="18"/>
                <w:szCs w:val="18"/>
                <w:color w:val="auto"/>
              </w:rPr>
            </w:pPr>
          </w:p>
        </w:tc>
        <w:tc>
          <w:tcPr>
            <w:tcW w:w="2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Chairman</w:t>
            </w:r>
          </w:p>
        </w:tc>
        <w:tc>
          <w:tcPr>
            <w:tcW w:w="432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Raimundo Morales</w:t>
            </w:r>
          </w:p>
        </w:tc>
        <w:tc>
          <w:tcPr>
            <w:tcW w:w="3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Vice Chairman</w:t>
            </w:r>
          </w:p>
        </w:tc>
        <w:tc>
          <w:tcPr>
            <w:tcW w:w="43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Fernando Fort</w:t>
            </w:r>
          </w:p>
        </w:tc>
        <w:tc>
          <w:tcPr>
            <w:tcW w:w="360" w:type="dxa"/>
            <w:vAlign w:val="bottom"/>
            <w:shd w:val="clear" w:color="auto" w:fill="CCFFCC"/>
          </w:tcPr>
          <w:p>
            <w:pPr>
              <w:spacing w:after="0"/>
              <w:rPr>
                <w:sz w:val="18"/>
                <w:szCs w:val="18"/>
                <w:color w:val="auto"/>
              </w:rPr>
            </w:pPr>
          </w:p>
        </w:tc>
        <w:tc>
          <w:tcPr>
            <w:tcW w:w="2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Director</w:t>
            </w:r>
          </w:p>
        </w:tc>
        <w:tc>
          <w:tcPr>
            <w:tcW w:w="432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Reynaldo Llosa</w:t>
            </w:r>
          </w:p>
        </w:tc>
        <w:tc>
          <w:tcPr>
            <w:tcW w:w="3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3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Juan Carlos Verme</w:t>
            </w:r>
          </w:p>
        </w:tc>
        <w:tc>
          <w:tcPr>
            <w:tcW w:w="360" w:type="dxa"/>
            <w:vAlign w:val="bottom"/>
            <w:shd w:val="clear" w:color="auto" w:fill="CCFFCC"/>
          </w:tcPr>
          <w:p>
            <w:pPr>
              <w:spacing w:after="0"/>
              <w:rPr>
                <w:sz w:val="18"/>
                <w:szCs w:val="18"/>
                <w:color w:val="auto"/>
              </w:rPr>
            </w:pPr>
          </w:p>
        </w:tc>
        <w:tc>
          <w:tcPr>
            <w:tcW w:w="2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Director</w:t>
            </w:r>
          </w:p>
        </w:tc>
        <w:tc>
          <w:tcPr>
            <w:tcW w:w="432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89"/>
              </w:rPr>
              <w:t>21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Luis Enrique Yarur</w:t>
            </w:r>
          </w:p>
        </w:tc>
        <w:tc>
          <w:tcPr>
            <w:tcW w:w="3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3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15</w:t>
            </w: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Felipe Ortiz de Zevallos</w:t>
            </w:r>
          </w:p>
        </w:tc>
        <w:tc>
          <w:tcPr>
            <w:tcW w:w="360" w:type="dxa"/>
            <w:vAlign w:val="bottom"/>
            <w:shd w:val="clear" w:color="auto" w:fill="CCFFCC"/>
          </w:tcPr>
          <w:p>
            <w:pPr>
              <w:spacing w:after="0"/>
              <w:rPr>
                <w:sz w:val="18"/>
                <w:szCs w:val="18"/>
                <w:color w:val="auto"/>
              </w:rPr>
            </w:pPr>
          </w:p>
        </w:tc>
        <w:tc>
          <w:tcPr>
            <w:tcW w:w="2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Director</w:t>
            </w:r>
          </w:p>
        </w:tc>
        <w:tc>
          <w:tcPr>
            <w:tcW w:w="432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9"/>
              </w:rPr>
              <w:t>6</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Germán Suárez</w:t>
            </w:r>
          </w:p>
        </w:tc>
        <w:tc>
          <w:tcPr>
            <w:tcW w:w="36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3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Of Credicorp, our subsidiaries and their predecessors as of December 31, 2010.</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Dionisio Romero Paoletti </w:t>
      </w:r>
      <w:r>
        <w:rPr>
          <w:rFonts w:ascii="Arial" w:cs="Arial" w:eastAsia="Arial" w:hAnsi="Arial"/>
          <w:sz w:val="17"/>
          <w:szCs w:val="17"/>
          <w:color w:val="auto"/>
        </w:rPr>
        <w:t>is the Chairman of the Board of Directors and Chief Executive Officer. He is an economist from Brown University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Master’s degree in Business Administration from Stanford University. Mr. Romero P. has served as a board member of Banco de Crédito since 2003 and was appointed Vice Chairman in 2008. Mr. Romero P. has also been the Chairman of Grupo Romero’s companies and has been Vice Chairman of the Board of Inversiones Centenario and Director of Cementos Pacasmayo since March 2005. Mr. Romero P. was appointed as Chairman of our Board and of the Board of Banco de Crédito in March 2009. He is the son of Mr. Dionisio Romero Seminario.</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Raimundo Morales </w:t>
      </w:r>
      <w:r>
        <w:rPr>
          <w:rFonts w:ascii="Arial" w:cs="Arial" w:eastAsia="Arial" w:hAnsi="Arial"/>
          <w:sz w:val="18"/>
          <w:szCs w:val="18"/>
          <w:color w:val="auto"/>
        </w:rPr>
        <w:t>has been the Vice Chairman of the Board of Directors since April 2008. Prior to being elected to the Board of Directors,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Operating Officer and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the General Manager in 1990. Mr. Morales received his Master’s degree in Finance from the Wharton School of Business in the United States.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Banco de Crédito del Perú from 1979 to 1987 and from March 1990 to the present. Since March 2009, he has served on our Board of Directors and on the board of directors of ASB, BCB and BCP’s subsidiaries. Mr. Fort also serves as a director on the Board of Inversiones Centenario and Edelnor S.A.A.</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Reynaldo Llosa </w:t>
      </w:r>
      <w:r>
        <w:rPr>
          <w:rFonts w:ascii="Arial" w:cs="Arial" w:eastAsia="Arial" w:hAnsi="Arial"/>
          <w:sz w:val="16"/>
          <w:szCs w:val="16"/>
          <w:color w:val="auto"/>
        </w:rPr>
        <w:t>is a business manager and since August 1995 has been a director on our board of directors and on the boards of ASB, BCB, Pacifico</w:t>
      </w:r>
      <w:r>
        <w:rPr>
          <w:rFonts w:ascii="Arial" w:cs="Arial" w:eastAsia="Arial" w:hAnsi="Arial"/>
          <w:sz w:val="16"/>
          <w:szCs w:val="16"/>
          <w:i w:val="1"/>
          <w:iCs w:val="1"/>
          <w:color w:val="auto"/>
        </w:rPr>
        <w:t xml:space="preserve"> </w:t>
      </w:r>
      <w:r>
        <w:rPr>
          <w:rFonts w:ascii="Arial" w:cs="Arial" w:eastAsia="Arial" w:hAnsi="Arial"/>
          <w:sz w:val="16"/>
          <w:szCs w:val="16"/>
          <w:color w:val="auto"/>
        </w:rPr>
        <w:t>Peruano Suiza and BCP’s subsidiaries. He has also been a director of BCP from 1980 to October 1987 and from March 1990 to the present. Mr. Llosa is the main partner and general manager of F.N. Jones S.R. Ltda. and serves as Chairman of the board at Edelnor S.A.A and as a board member of Edegel S.A.A.</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Juan Carlos Verme </w:t>
      </w:r>
      <w:r>
        <w:rPr>
          <w:rFonts w:ascii="Arial" w:cs="Arial" w:eastAsia="Arial" w:hAnsi="Arial"/>
          <w:sz w:val="16"/>
          <w:szCs w:val="16"/>
          <w:color w:val="auto"/>
        </w:rPr>
        <w:t>is a businessman and has served on the Board of Directors since August 1995. He has served on the board directors of BCP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1990 and is also on the board of directors of ASB and BCB. Mr. Verme is Chairman of Inversiones Centenario and he also serves as member of the Board of some BCP’s subsidiaries (Creditítulos S.A., Credifondo S.A.C., and Solución Financiera de Crédito del Perú S.A. He is a director of the Asamblea General de Asociados del Patronato del Museo de Arte de Lima (the General Assembly of Patron Members of the Lima Art Museum).</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Luis Enrique Yarur </w:t>
      </w:r>
      <w:r>
        <w:rPr>
          <w:rFonts w:ascii="Arial" w:cs="Arial" w:eastAsia="Arial" w:hAnsi="Arial"/>
          <w:sz w:val="17"/>
          <w:szCs w:val="17"/>
          <w:color w:val="auto"/>
        </w:rPr>
        <w:t>is a businessman with an undergraduate degree in law and graduate degrees in economics and management. He has served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since October 2002 as well as the board of directors of BCP since February 1995. Mr. Yarur is Chairman of the Board of Empresas Juan Yarur S. A. C., Banco de Crédito e Inversiones of Chile, BCI Seguros Generales S.A, BCI Seguros de Vida S.A., Chairman of Empresas Jordan S.A. and Vice-Chairman of Empresas Lourdes S.A. He is Vice-President of the Asociación de Bancos e Instituciones Financieras A. G., a member of the International Advisory Board IESE, España and director of the Bolsa de Comercio de Santiago.</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Felipe Ortiz de Zevallos </w:t>
      </w:r>
      <w:r>
        <w:rPr>
          <w:rFonts w:ascii="Arial" w:cs="Arial" w:eastAsia="Arial" w:hAnsi="Arial"/>
          <w:sz w:val="18"/>
          <w:szCs w:val="18"/>
          <w:color w:val="auto"/>
        </w:rPr>
        <w:t>is an industrial engineer with a Master’s degree in Management Science from Rochester University and a degree in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from Harvard Business School. Mr. Ortiz de Zevallos has served on the Board of Directors since March 2005. He also serves as a director on the boards of BCP, Grupo Apoyo (where he is the Chairman), Compañía de Minas Buenaventura S.A., Sociedad Minera el Brocal S.A.A., AC Capitales SAFI, HTA Perú SAC, and AC Pública. From September 2006 until March 2009, Felipe Ortiz de Zevallos was Peru’s Ambassador to the United States. Prior to becoming Peru’s Ambassador to the United States, Mr. Zevallos served as the President of Universidad del Pacífico in Lima (elected for the period 2004-2009).</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with a Master’s degree in Economics from Columbia University. Mr. Suárez was elected to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2005. Mr. Suárez was President and Chairman of the Board of Banco Central de Reserva del Perú from 1992 to 2001, and serves as a director on the boards of BCP and Compañía de Minas Buenaventura S.A.</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Dawna L. Ferguson is Credicorp’s Secretary, and Mario Ferrari is the Deputy General Secretary.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Credicorp’s bye-laws, the Board of Directors has the power to delegate its power over day-to-day management to one or more directors, officers, employees or agents. The following table sets forth information concerning our principal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Years Served as</w:t>
            </w:r>
          </w:p>
        </w:tc>
      </w:tr>
      <w:tr>
        <w:trPr>
          <w:trHeight w:val="241"/>
        </w:trPr>
        <w:tc>
          <w:tcPr>
            <w:tcW w:w="20" w:type="dxa"/>
            <w:vAlign w:val="bottom"/>
          </w:tcPr>
          <w:p>
            <w:pPr>
              <w:spacing w:after="0"/>
              <w:rPr>
                <w:sz w:val="20"/>
                <w:szCs w:val="20"/>
                <w:color w:val="auto"/>
              </w:rPr>
            </w:pPr>
          </w:p>
        </w:tc>
        <w:tc>
          <w:tcPr>
            <w:tcW w:w="398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34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an Officer</w:t>
            </w:r>
            <w:r>
              <w:rPr>
                <w:rFonts w:ascii="Arial" w:cs="Arial" w:eastAsia="Arial" w:hAnsi="Arial"/>
                <w:sz w:val="18"/>
                <w:szCs w:val="18"/>
                <w:color w:val="auto"/>
                <w:w w:val="92"/>
              </w:rPr>
              <w:t>(1)</w:t>
            </w: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Dionisio Romero P.</w:t>
            </w:r>
          </w:p>
        </w:tc>
        <w:tc>
          <w:tcPr>
            <w:tcW w:w="360" w:type="dxa"/>
            <w:vAlign w:val="bottom"/>
            <w:shd w:val="clear" w:color="auto" w:fill="CCFFCC"/>
          </w:tcPr>
          <w:p>
            <w:pPr>
              <w:spacing w:after="0"/>
              <w:rPr>
                <w:sz w:val="18"/>
                <w:szCs w:val="18"/>
                <w:color w:val="auto"/>
              </w:rPr>
            </w:pPr>
          </w:p>
        </w:tc>
        <w:tc>
          <w:tcPr>
            <w:tcW w:w="2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Chief Executive Officer</w:t>
            </w:r>
          </w:p>
        </w:tc>
        <w:tc>
          <w:tcPr>
            <w:tcW w:w="432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Walter Bayly</w:t>
            </w:r>
          </w:p>
        </w:tc>
        <w:tc>
          <w:tcPr>
            <w:tcW w:w="3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General Manager</w:t>
            </w:r>
          </w:p>
        </w:tc>
        <w:tc>
          <w:tcPr>
            <w:tcW w:w="43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Alvaro Correa</w:t>
            </w:r>
          </w:p>
        </w:tc>
        <w:tc>
          <w:tcPr>
            <w:tcW w:w="360" w:type="dxa"/>
            <w:vAlign w:val="bottom"/>
            <w:shd w:val="clear" w:color="auto" w:fill="CCFFCC"/>
          </w:tcPr>
          <w:p>
            <w:pPr>
              <w:spacing w:after="0"/>
              <w:rPr>
                <w:sz w:val="18"/>
                <w:szCs w:val="18"/>
                <w:color w:val="auto"/>
              </w:rPr>
            </w:pPr>
          </w:p>
        </w:tc>
        <w:tc>
          <w:tcPr>
            <w:tcW w:w="27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Chief Financial Officer</w:t>
            </w:r>
          </w:p>
        </w:tc>
        <w:tc>
          <w:tcPr>
            <w:tcW w:w="432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89"/>
              </w:rPr>
              <w:t>14</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David Saettone</w:t>
            </w:r>
          </w:p>
        </w:tc>
        <w:tc>
          <w:tcPr>
            <w:tcW w:w="36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2"/>
              </w:rPr>
              <w:t>Chief Insurance Officer</w:t>
            </w:r>
          </w:p>
        </w:tc>
        <w:tc>
          <w:tcPr>
            <w:tcW w:w="43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  Of Credicorp, our subsidiaries and their predecessors as of December 31, 2010.</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is the General Manager of Credicorp and BCP, positions he has held since April 2008. Previously, he was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Vice President of Planning and Finance of BCP and prior to that time he held various other management positions within BCP, which included managing the Wholesale Banking Group as well as other areas of BCP. Mr. Bayly joined BCP in 1993, after three years at Casa Bolsa México where he was Partner and Managing Director in Corporate Finance. Prior to that, he was with Citibank in Lima, New York, México, and Caracas for a period of ten years, where he worked primarily in the corporate finance and loan syndication groups. Mr. Bayly received a Bachelor’s degree in Business Administration from Universidad del Pacífico in Lima, Peru, and a Master’s degree in Management from Arthur D. Little Management in Cambridge, Massachusetts.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Alvaro Correa </w:t>
      </w:r>
      <w:r>
        <w:rPr>
          <w:rFonts w:ascii="Arial" w:cs="Arial" w:eastAsia="Arial" w:hAnsi="Arial"/>
          <w:sz w:val="18"/>
          <w:szCs w:val="18"/>
          <w:color w:val="auto"/>
        </w:rPr>
        <w:t>is the Chief Financial Officer and the Executive Vice President of Planning and Finance of BCP, positions he has held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2008. He also oversees Credicorp’s international subsidiaries and branches. Mr. Correa is an industrial engineer from the Pontificia Universidad Católica del Perú. He also holds a Master’s degree in Business Administration from Harvard Business School. Mr Correa also has Series 7 and Series 24 certifications in the United States. In 1997, he joined BCP as Retail Risk Manager, later serving as IT Solution Manager under the Systems and Organization Division. From 2006 to 2008, Mr. Correa served as General Manager of ASB, Credicorp Securities and BCP’s Miami agency. He currently is Chairman and CEO of Solucion-EAH and Director of Edyficar and Prima AFP.</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David Saettone </w:t>
      </w:r>
      <w:r>
        <w:rPr>
          <w:rFonts w:ascii="Arial" w:cs="Arial" w:eastAsia="Arial" w:hAnsi="Arial"/>
          <w:sz w:val="17"/>
          <w:szCs w:val="17"/>
          <w:color w:val="auto"/>
        </w:rPr>
        <w:t>is Chief Insurance Officer and the Chief Executive Officer of PPS. Mr. Saettone graduated with honors (BAH) from Queen’s</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at Kingston, Canada. He has a Master of Economics and Finance (MA) from Princeton University. Mr. Saettone has been certified as a Chartered Insurer and Associate by the Chartered Insurance Institute (ACII), UK; a Chartered Property Casualty Underwriter (CPCU) by the Institute for CPCU, in the United States; Chartered Life Underwriter (CLU) by the American College, in the United States; Associate in Risk Management (ARM, Associate in Underwriting (AU), Associate in Reinsurance (ARe), Associate in Marine Insurance Management (AMIM), Associate in Claims (AIC) and Associate in Insurance Accounting &amp; Finance (AIAF) from the Insurance Institute of America, in the United States. He obtained a Certificate in Information Technology for Insurance Professionals (CITIP) from the Chartered Insurance Institute and the British Computer Society of the United Kingdom. Mr. Saettone has worked as General Manager of Banco de Credito de Bolivia, Head of the Cabinet of Advisors of the Ministry of Economy and Finance, Manager of Corporate Finance at BCP and General Manager of Credibolsa SAB S.A., a subsidiary of BCP. In academia, Mr. Saettone was a professor of International Economics and Capital Markets at the University of Lima and taught Probability and Statistics at the Woodrow Wilson School of Public Administration of Princeton University. He was director of Cofide (</w:t>
      </w:r>
      <w:r>
        <w:rPr>
          <w:rFonts w:ascii="Arial" w:cs="Arial" w:eastAsia="Arial" w:hAnsi="Arial"/>
          <w:sz w:val="17"/>
          <w:szCs w:val="17"/>
          <w:i w:val="1"/>
          <w:iCs w:val="1"/>
          <w:color w:val="auto"/>
        </w:rPr>
        <w:t>Corporación Financiera de Desarrollo S.A.</w:t>
      </w:r>
      <w:r>
        <w:rPr>
          <w:rFonts w:ascii="Arial" w:cs="Arial" w:eastAsia="Arial" w:hAnsi="Arial"/>
          <w:sz w:val="17"/>
          <w:szCs w:val="17"/>
          <w:color w:val="auto"/>
        </w:rPr>
        <w:t>, a Peruvian government-owned development bank) and the Fondo Consolidado de Reservas (Consolidated Reserves Fund). Mr. Saettone is currently General Manager of Pacifico Insurance, Chairman of the Board of Pacifico Salud, Director of Pacifico Vida and Director of Financiera Edyficar.</w:t>
      </w:r>
    </w:p>
    <w:p>
      <w:pPr>
        <w:spacing w:after="0" w:line="18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amount of compensation paid to all directors and executive officers (including our executive officers listed above and four additional executive officers of BCP) for 2010 was US$33.2 million. We do not disclose to our shareholders or otherwise make available to the public information as to the compensation of its individual directors or executive officers.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5" w:name="page96"/>
    <w:bookmarkEnd w:id="95"/>
    <w:p>
      <w:pPr>
        <w:jc w:val="both"/>
        <w:ind w:firstLine="648"/>
        <w:spacing w:after="0" w:line="259" w:lineRule="auto"/>
        <w:rPr>
          <w:sz w:val="20"/>
          <w:szCs w:val="20"/>
          <w:color w:val="auto"/>
        </w:rPr>
      </w:pPr>
      <w:r>
        <w:rPr>
          <w:rFonts w:ascii="Arial" w:cs="Arial" w:eastAsia="Arial" w:hAnsi="Arial"/>
          <w:sz w:val="18"/>
          <w:szCs w:val="18"/>
          <w:color w:val="auto"/>
        </w:rPr>
        <w:t>As indicated in Note 3(w) to the Credicorp Consolidated Financial Statements, Credicorp has granted stock appreciation rights (SARs) to certain key executives and employees who have at least one year service to Credicorp or any of our subsidiaries. At the grant date and in each one of the subsequent three years, the granted SARs may be exercised up to 25% of all SARs granted in the plan. The SARs expire after eight years. The number of outstanding SARs as of December 31, 2010 and their corresponding exercise prices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Year Granted</w:t>
            </w:r>
          </w:p>
        </w:tc>
        <w:tc>
          <w:tcPr>
            <w:tcW w:w="2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Number of Outstanding SARs granted</w:t>
            </w:r>
          </w:p>
        </w:tc>
        <w:tc>
          <w:tcPr>
            <w:tcW w:w="320" w:type="dxa"/>
            <w:vAlign w:val="bottom"/>
          </w:tcPr>
          <w:p>
            <w:pPr>
              <w:spacing w:after="0"/>
              <w:rPr>
                <w:sz w:val="20"/>
                <w:szCs w:val="20"/>
                <w:color w:val="auto"/>
              </w:rPr>
            </w:pPr>
          </w:p>
        </w:tc>
        <w:tc>
          <w:tcPr>
            <w:tcW w:w="2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Exercise price in US$</w:t>
            </w:r>
          </w:p>
        </w:tc>
        <w:tc>
          <w:tcPr>
            <w:tcW w:w="100" w:type="dxa"/>
            <w:vAlign w:val="bottom"/>
          </w:tcPr>
          <w:p>
            <w:pPr>
              <w:spacing w:after="0"/>
              <w:rPr>
                <w:sz w:val="20"/>
                <w:szCs w:val="20"/>
                <w:color w:val="auto"/>
              </w:rPr>
            </w:pPr>
          </w:p>
        </w:tc>
      </w:tr>
      <w:tr>
        <w:trPr>
          <w:trHeight w:val="216"/>
        </w:trPr>
        <w:tc>
          <w:tcPr>
            <w:tcW w:w="4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31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36,500</w:t>
            </w:r>
          </w:p>
        </w:tc>
        <w:tc>
          <w:tcPr>
            <w:tcW w:w="318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91"/>
              </w:rPr>
              <w:t>6.47</w:t>
            </w:r>
          </w:p>
        </w:tc>
        <w:tc>
          <w:tcPr>
            <w:tcW w:w="100" w:type="dxa"/>
            <w:vAlign w:val="bottom"/>
            <w:shd w:val="clear" w:color="auto" w:fill="CCFFCC"/>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31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87,500</w:t>
            </w:r>
          </w:p>
        </w:tc>
        <w:tc>
          <w:tcPr>
            <w:tcW w:w="318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9.29</w:t>
            </w:r>
          </w:p>
        </w:tc>
        <w:tc>
          <w:tcPr>
            <w:tcW w:w="100" w:type="dxa"/>
            <w:vAlign w:val="bottom"/>
          </w:tcPr>
          <w:p>
            <w:pPr>
              <w:spacing w:after="0"/>
              <w:rPr>
                <w:sz w:val="18"/>
                <w:szCs w:val="18"/>
                <w:color w:val="auto"/>
              </w:rPr>
            </w:pPr>
          </w:p>
        </w:tc>
      </w:tr>
      <w:tr>
        <w:trPr>
          <w:trHeight w:val="216"/>
        </w:trPr>
        <w:tc>
          <w:tcPr>
            <w:tcW w:w="4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31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2"/>
              </w:rPr>
              <w:t>107,500</w:t>
            </w:r>
          </w:p>
        </w:tc>
        <w:tc>
          <w:tcPr>
            <w:tcW w:w="318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88"/>
              </w:rPr>
              <w:t>14.30</w:t>
            </w:r>
          </w:p>
        </w:tc>
        <w:tc>
          <w:tcPr>
            <w:tcW w:w="100" w:type="dxa"/>
            <w:vAlign w:val="bottom"/>
            <w:shd w:val="clear" w:color="auto" w:fill="CCFFCC"/>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18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171,300</w:t>
            </w:r>
          </w:p>
        </w:tc>
        <w:tc>
          <w:tcPr>
            <w:tcW w:w="318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23.62</w:t>
            </w:r>
          </w:p>
        </w:tc>
        <w:tc>
          <w:tcPr>
            <w:tcW w:w="100" w:type="dxa"/>
            <w:vAlign w:val="bottom"/>
          </w:tcPr>
          <w:p>
            <w:pPr>
              <w:spacing w:after="0"/>
              <w:rPr>
                <w:sz w:val="18"/>
                <w:szCs w:val="18"/>
                <w:color w:val="auto"/>
              </w:rPr>
            </w:pPr>
          </w:p>
        </w:tc>
      </w:tr>
      <w:tr>
        <w:trPr>
          <w:trHeight w:val="216"/>
        </w:trPr>
        <w:tc>
          <w:tcPr>
            <w:tcW w:w="4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31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2"/>
              </w:rPr>
              <w:t>168,310</w:t>
            </w:r>
          </w:p>
        </w:tc>
        <w:tc>
          <w:tcPr>
            <w:tcW w:w="318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88"/>
              </w:rPr>
              <w:t>23.62</w:t>
            </w:r>
          </w:p>
        </w:tc>
        <w:tc>
          <w:tcPr>
            <w:tcW w:w="100" w:type="dxa"/>
            <w:vAlign w:val="bottom"/>
            <w:shd w:val="clear" w:color="auto" w:fill="CCFFCC"/>
          </w:tcPr>
          <w:p>
            <w:pPr>
              <w:spacing w:after="0"/>
              <w:rPr>
                <w:sz w:val="18"/>
                <w:szCs w:val="18"/>
                <w:color w:val="auto"/>
              </w:rPr>
            </w:pPr>
          </w:p>
        </w:tc>
      </w:tr>
      <w:tr>
        <w:trPr>
          <w:trHeight w:val="230"/>
        </w:trPr>
        <w:tc>
          <w:tcPr>
            <w:tcW w:w="49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18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206,589</w:t>
            </w:r>
          </w:p>
        </w:tc>
        <w:tc>
          <w:tcPr>
            <w:tcW w:w="3180" w:type="dxa"/>
            <w:vAlign w:val="bottom"/>
            <w:gridSpan w:val="2"/>
          </w:tcPr>
          <w:p>
            <w:pPr>
              <w:jc w:val="center"/>
              <w:ind w:left="210"/>
              <w:spacing w:after="0"/>
              <w:rPr>
                <w:sz w:val="20"/>
                <w:szCs w:val="20"/>
                <w:color w:val="auto"/>
              </w:rPr>
            </w:pPr>
            <w:r>
              <w:rPr>
                <w:rFonts w:ascii="Arial" w:cs="Arial" w:eastAsia="Arial" w:hAnsi="Arial"/>
                <w:sz w:val="18"/>
                <w:szCs w:val="18"/>
                <w:color w:val="auto"/>
                <w:w w:val="88"/>
              </w:rPr>
              <w:t>23.62</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Credicorp assumes the payment of the related income tax on behalf of our executives and employees, which corresponds to 30% of the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Credicorp estimates this income tax over the basis of the liability recorded for the vested benefits.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liabilities recorded for this plan, including the above-mentioned income tax, are included in the consolidated balance sheet caption “Other liabilities – Payroll taxes, salaries and other personnel expenses.”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11(a) to the Credicorp Consolidated Financial Statements. The expenses are recorded in the consolidated income statement caption “Personnel expenses.”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During 2008, 2009 and 2010, Credicorp signed several contracts with Citigroup and Calyon Financial by which it acquired certificates linked to the yield of our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 to the Credicorp Consolidated Financial Statements.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89"/>
              </w:rPr>
              <w:t>2010</w:t>
            </w:r>
          </w:p>
        </w:tc>
        <w:tc>
          <w:tcPr>
            <w:tcW w:w="1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320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3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220" w:type="dxa"/>
            <w:vAlign w:val="bottom"/>
          </w:tcPr>
          <w:p>
            <w:pPr>
              <w:spacing w:after="0"/>
              <w:rPr>
                <w:sz w:val="20"/>
                <w:szCs w:val="20"/>
                <w:color w:val="auto"/>
              </w:rPr>
            </w:pPr>
          </w:p>
        </w:tc>
        <w:tc>
          <w:tcPr>
            <w:tcW w:w="2540" w:type="dxa"/>
            <w:vAlign w:val="bottom"/>
            <w:gridSpan w:val="2"/>
          </w:tcPr>
          <w:p>
            <w:pPr>
              <w:ind w:left="780"/>
              <w:spacing w:after="0"/>
              <w:rPr>
                <w:sz w:val="20"/>
                <w:szCs w:val="20"/>
                <w:color w:val="auto"/>
              </w:rPr>
            </w:pPr>
            <w:r>
              <w:rPr>
                <w:rFonts w:ascii="Arial" w:cs="Arial" w:eastAsia="Arial" w:hAnsi="Arial"/>
                <w:sz w:val="18"/>
                <w:szCs w:val="18"/>
                <w:b w:val="1"/>
                <w:bCs w:val="1"/>
                <w:color w:val="auto"/>
              </w:rPr>
              <w:t>Vested SARs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240" w:type="dxa"/>
            <w:vAlign w:val="bottom"/>
          </w:tcPr>
          <w:p>
            <w:pPr>
              <w:spacing w:after="0"/>
              <w:rPr>
                <w:sz w:val="20"/>
                <w:szCs w:val="20"/>
                <w:color w:val="auto"/>
              </w:rPr>
            </w:pPr>
          </w:p>
        </w:tc>
        <w:tc>
          <w:tcPr>
            <w:tcW w:w="2700" w:type="dxa"/>
            <w:vAlign w:val="bottom"/>
            <w:gridSpan w:val="3"/>
          </w:tcPr>
          <w:p>
            <w:pPr>
              <w:ind w:left="760"/>
              <w:spacing w:after="0"/>
              <w:rPr>
                <w:sz w:val="20"/>
                <w:szCs w:val="20"/>
                <w:color w:val="auto"/>
              </w:rPr>
            </w:pPr>
            <w:r>
              <w:rPr>
                <w:rFonts w:ascii="Arial" w:cs="Arial" w:eastAsia="Arial" w:hAnsi="Arial"/>
                <w:sz w:val="18"/>
                <w:szCs w:val="18"/>
                <w:b w:val="1"/>
                <w:bCs w:val="1"/>
                <w:color w:val="auto"/>
              </w:rPr>
              <w:t>Vested SARs</w:t>
            </w:r>
          </w:p>
        </w:tc>
      </w:tr>
      <w:tr>
        <w:trPr>
          <w:trHeight w:val="202"/>
        </w:trPr>
        <w:tc>
          <w:tcPr>
            <w:tcW w:w="320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220" w:type="dxa"/>
            <w:vAlign w:val="bottom"/>
          </w:tcPr>
          <w:p>
            <w:pPr>
              <w:spacing w:after="0"/>
              <w:rPr>
                <w:sz w:val="17"/>
                <w:szCs w:val="17"/>
                <w:color w:val="auto"/>
              </w:rPr>
            </w:pPr>
          </w:p>
        </w:tc>
        <w:tc>
          <w:tcPr>
            <w:tcW w:w="128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rPr>
              <w:t>Number</w:t>
            </w:r>
          </w:p>
        </w:tc>
        <w:tc>
          <w:tcPr>
            <w:tcW w:w="126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240" w:type="dxa"/>
            <w:vAlign w:val="bottom"/>
          </w:tcPr>
          <w:p>
            <w:pPr>
              <w:spacing w:after="0"/>
              <w:rPr>
                <w:sz w:val="17"/>
                <w:szCs w:val="17"/>
                <w:color w:val="auto"/>
              </w:rPr>
            </w:pPr>
          </w:p>
        </w:tc>
        <w:tc>
          <w:tcPr>
            <w:tcW w:w="124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0"/>
              </w:rPr>
              <w:t>Number</w:t>
            </w:r>
          </w:p>
        </w:tc>
        <w:tc>
          <w:tcPr>
            <w:tcW w:w="1240" w:type="dxa"/>
            <w:vAlign w:val="bottom"/>
            <w:tcBorders>
              <w:top w:val="single" w:sz="8" w:color="auto"/>
            </w:tcBorders>
          </w:tcPr>
          <w:p>
            <w:pPr>
              <w:jc w:val="center"/>
              <w:ind w:left="30"/>
              <w:spacing w:after="0" w:line="201" w:lineRule="exact"/>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93"/>
              </w:rPr>
              <w:t>US$(000)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Balance as of January 1</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1,147,463</w:t>
            </w:r>
          </w:p>
        </w:tc>
        <w:tc>
          <w:tcPr>
            <w:tcW w:w="150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9"/>
              </w:rPr>
              <w:t>1,038,276</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7"/>
              </w:rPr>
              <w:t>60,488</w:t>
            </w:r>
          </w:p>
        </w:tc>
        <w:tc>
          <w:tcPr>
            <w:tcW w:w="13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2,215,225</w:t>
            </w:r>
          </w:p>
        </w:tc>
        <w:tc>
          <w:tcPr>
            <w:tcW w:w="148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89"/>
              </w:rPr>
              <w:t>1,617,818</w:t>
            </w:r>
          </w:p>
        </w:tc>
        <w:tc>
          <w:tcPr>
            <w:tcW w:w="12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42,987</w:t>
            </w:r>
          </w:p>
        </w:tc>
        <w:tc>
          <w:tcPr>
            <w:tcW w:w="22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SAR´s modification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(451,143)</w:t>
            </w:r>
          </w:p>
        </w:tc>
        <w:tc>
          <w:tcPr>
            <w:tcW w:w="14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(451,143)</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Granted and vested</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7"/>
              </w:rPr>
              <w:t>88,683</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8,451</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366,845</w:t>
            </w:r>
          </w:p>
        </w:tc>
        <w:tc>
          <w:tcPr>
            <w:tcW w:w="12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19,333</w:t>
            </w:r>
          </w:p>
        </w:tc>
        <w:tc>
          <w:tcPr>
            <w:tcW w:w="22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(349,260)</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(349,260)</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9"/>
              </w:rPr>
              <w:t>(28,272)</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(495,244)</w:t>
            </w:r>
          </w:p>
        </w:tc>
        <w:tc>
          <w:tcPr>
            <w:tcW w:w="14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(495,244)</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2"/>
              </w:rPr>
              <w:t>(17,761)</w:t>
            </w:r>
          </w:p>
        </w:tc>
        <w:tc>
          <w:tcPr>
            <w:tcW w:w="22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Decrease</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(3,048)</w:t>
            </w:r>
          </w:p>
        </w:tc>
        <w:tc>
          <w:tcPr>
            <w:tcW w:w="150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0"/>
              </w:rPr>
              <w:t>(121,375)</w:t>
            </w:r>
          </w:p>
        </w:tc>
        <w:tc>
          <w:tcPr>
            <w:tcW w:w="148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Increase in the option fair value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36,322</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15,929</w:t>
            </w:r>
          </w:p>
        </w:tc>
        <w:tc>
          <w:tcPr>
            <w:tcW w:w="22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Balance as of December 31</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795,155</w:t>
            </w:r>
          </w:p>
        </w:tc>
        <w:tc>
          <w:tcPr>
            <w:tcW w:w="150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777,699</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7"/>
              </w:rPr>
              <w:t>76,989</w:t>
            </w:r>
          </w:p>
        </w:tc>
        <w:tc>
          <w:tcPr>
            <w:tcW w:w="13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1,147,463</w:t>
            </w:r>
          </w:p>
        </w:tc>
        <w:tc>
          <w:tcPr>
            <w:tcW w:w="148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89"/>
              </w:rPr>
              <w:t>1,038,276</w:t>
            </w:r>
          </w:p>
        </w:tc>
        <w:tc>
          <w:tcPr>
            <w:tcW w:w="12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60,488</w:t>
            </w:r>
          </w:p>
        </w:tc>
        <w:tc>
          <w:tcPr>
            <w:tcW w:w="22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of outstanding SARs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88"/>
              </w:rPr>
              <w:t>Year of</w:t>
            </w:r>
          </w:p>
        </w:tc>
        <w:tc>
          <w:tcPr>
            <w:tcW w:w="200" w:type="dxa"/>
            <w:vAlign w:val="bottom"/>
          </w:tcPr>
          <w:p>
            <w:pPr>
              <w:spacing w:after="0"/>
              <w:rPr>
                <w:sz w:val="18"/>
                <w:szCs w:val="18"/>
                <w:color w:val="auto"/>
              </w:rPr>
            </w:pP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Number of Vested SARs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1"/>
              </w:rPr>
              <w:t>Insurance</w:t>
            </w:r>
          </w:p>
        </w:tc>
        <w:tc>
          <w:tcPr>
            <w:tcW w:w="2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2010</w:t>
            </w:r>
          </w:p>
        </w:tc>
        <w:tc>
          <w:tcPr>
            <w:tcW w:w="200" w:type="dxa"/>
            <w:vAlign w:val="bottom"/>
          </w:tcPr>
          <w:p>
            <w:pPr>
              <w:spacing w:after="0"/>
              <w:rPr>
                <w:sz w:val="20"/>
                <w:szCs w:val="20"/>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as of December 31</w:t>
            </w:r>
          </w:p>
        </w:tc>
        <w:tc>
          <w:tcPr>
            <w:tcW w:w="220" w:type="dxa"/>
            <w:vAlign w:val="bottom"/>
          </w:tcPr>
          <w:p>
            <w:pPr>
              <w:spacing w:after="0"/>
              <w:rPr>
                <w:sz w:val="20"/>
                <w:szCs w:val="20"/>
                <w:color w:val="auto"/>
              </w:rPr>
            </w:pPr>
          </w:p>
        </w:tc>
        <w:tc>
          <w:tcPr>
            <w:tcW w:w="2300" w:type="dxa"/>
            <w:vAlign w:val="bottom"/>
            <w:gridSpan w:val="3"/>
          </w:tcPr>
          <w:p>
            <w:pPr>
              <w:ind w:left="560"/>
              <w:spacing w:after="0"/>
              <w:rPr>
                <w:sz w:val="20"/>
                <w:szCs w:val="20"/>
                <w:color w:val="auto"/>
              </w:rPr>
            </w:pPr>
            <w:r>
              <w:rPr>
                <w:rFonts w:ascii="Arial" w:cs="Arial" w:eastAsia="Arial" w:hAnsi="Arial"/>
                <w:sz w:val="18"/>
                <w:szCs w:val="18"/>
                <w:b w:val="1"/>
                <w:bCs w:val="1"/>
                <w:color w:val="auto"/>
              </w:rPr>
              <w:t>Exercise price</w:t>
            </w:r>
          </w:p>
        </w:tc>
      </w:tr>
      <w:tr>
        <w:trPr>
          <w:trHeight w:val="234"/>
        </w:trPr>
        <w:tc>
          <w:tcPr>
            <w:tcW w:w="46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220" w:type="dxa"/>
            <w:vAlign w:val="bottom"/>
            <w:tcBorders>
              <w:top w:val="single" w:sz="8" w:color="auto"/>
            </w:tcBorders>
            <w:gridSpan w:val="2"/>
          </w:tcPr>
          <w:p>
            <w:pPr>
              <w:jc w:val="center"/>
              <w:ind w:left="13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10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198"/>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2002</w:t>
            </w:r>
          </w:p>
        </w:tc>
        <w:tc>
          <w:tcPr>
            <w:tcW w:w="18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52,500</w:t>
            </w:r>
          </w:p>
        </w:tc>
        <w:tc>
          <w:tcPr>
            <w:tcW w:w="132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1"/>
              </w:rPr>
              <w:t>5.28</w:t>
            </w:r>
          </w:p>
        </w:tc>
        <w:tc>
          <w:tcPr>
            <w:tcW w:w="11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1"/>
              </w:rPr>
              <w:t>5.98</w:t>
            </w:r>
          </w:p>
        </w:tc>
        <w:tc>
          <w:tcPr>
            <w:tcW w:w="100" w:type="dxa"/>
            <w:vAlign w:val="bottom"/>
            <w:shd w:val="clear" w:color="auto" w:fill="CCFFCC"/>
          </w:tcPr>
          <w:p>
            <w:pPr>
              <w:spacing w:after="0"/>
              <w:rPr>
                <w:sz w:val="18"/>
                <w:szCs w:val="18"/>
                <w:color w:val="auto"/>
              </w:rPr>
            </w:pPr>
          </w:p>
        </w:tc>
      </w:tr>
      <w:tr>
        <w:trPr>
          <w:trHeight w:val="216"/>
        </w:trPr>
        <w:tc>
          <w:tcPr>
            <w:tcW w:w="466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18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36,500</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36,500</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96,900</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6.47</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91"/>
              </w:rPr>
              <w:t>7.17</w:t>
            </w:r>
          </w:p>
        </w:tc>
        <w:tc>
          <w:tcPr>
            <w:tcW w:w="100" w:type="dxa"/>
            <w:vAlign w:val="bottom"/>
          </w:tcPr>
          <w:p>
            <w:pPr>
              <w:spacing w:after="0"/>
              <w:rPr>
                <w:sz w:val="18"/>
                <w:szCs w:val="18"/>
                <w:color w:val="auto"/>
              </w:rPr>
            </w:pPr>
          </w:p>
        </w:tc>
      </w:tr>
      <w:tr>
        <w:trPr>
          <w:trHeight w:val="216"/>
        </w:trPr>
        <w:tc>
          <w:tcPr>
            <w:tcW w:w="4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2004</w:t>
            </w:r>
          </w:p>
        </w:tc>
        <w:tc>
          <w:tcPr>
            <w:tcW w:w="18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0"/>
              </w:rPr>
              <w:t>87,500</w:t>
            </w:r>
          </w:p>
        </w:tc>
        <w:tc>
          <w:tcPr>
            <w:tcW w:w="12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87,500</w:t>
            </w:r>
          </w:p>
        </w:tc>
        <w:tc>
          <w:tcPr>
            <w:tcW w:w="122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118,750</w:t>
            </w:r>
          </w:p>
        </w:tc>
        <w:tc>
          <w:tcPr>
            <w:tcW w:w="132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1"/>
              </w:rPr>
              <w:t>9.29</w:t>
            </w:r>
          </w:p>
        </w:tc>
        <w:tc>
          <w:tcPr>
            <w:tcW w:w="11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1"/>
              </w:rPr>
              <w:t>9.99</w:t>
            </w:r>
          </w:p>
        </w:tc>
        <w:tc>
          <w:tcPr>
            <w:tcW w:w="100" w:type="dxa"/>
            <w:vAlign w:val="bottom"/>
            <w:shd w:val="clear" w:color="auto" w:fill="CCFFCC"/>
          </w:tcPr>
          <w:p>
            <w:pPr>
              <w:spacing w:after="0"/>
              <w:rPr>
                <w:sz w:val="18"/>
                <w:szCs w:val="18"/>
                <w:color w:val="auto"/>
              </w:rPr>
            </w:pPr>
          </w:p>
        </w:tc>
      </w:tr>
      <w:tr>
        <w:trPr>
          <w:trHeight w:val="216"/>
        </w:trPr>
        <w:tc>
          <w:tcPr>
            <w:tcW w:w="46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8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107,500</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107,500</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155,000</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14.30</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8"/>
              </w:rPr>
              <w:t>15.00</w:t>
            </w:r>
          </w:p>
        </w:tc>
        <w:tc>
          <w:tcPr>
            <w:tcW w:w="100" w:type="dxa"/>
            <w:vAlign w:val="bottom"/>
          </w:tcPr>
          <w:p>
            <w:pPr>
              <w:spacing w:after="0"/>
              <w:rPr>
                <w:sz w:val="18"/>
                <w:szCs w:val="18"/>
                <w:color w:val="auto"/>
              </w:rPr>
            </w:pPr>
          </w:p>
        </w:tc>
      </w:tr>
      <w:tr>
        <w:trPr>
          <w:trHeight w:val="216"/>
        </w:trPr>
        <w:tc>
          <w:tcPr>
            <w:tcW w:w="4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2006</w:t>
            </w:r>
          </w:p>
        </w:tc>
        <w:tc>
          <w:tcPr>
            <w:tcW w:w="180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171,300</w:t>
            </w:r>
          </w:p>
        </w:tc>
        <w:tc>
          <w:tcPr>
            <w:tcW w:w="12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171,300</w:t>
            </w:r>
          </w:p>
        </w:tc>
        <w:tc>
          <w:tcPr>
            <w:tcW w:w="1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2"/>
              </w:rPr>
              <w:t>226,250</w:t>
            </w:r>
          </w:p>
        </w:tc>
        <w:tc>
          <w:tcPr>
            <w:tcW w:w="132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88"/>
              </w:rPr>
              <w:t>23.62</w:t>
            </w:r>
          </w:p>
        </w:tc>
        <w:tc>
          <w:tcPr>
            <w:tcW w:w="11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24.32</w:t>
            </w:r>
          </w:p>
        </w:tc>
        <w:tc>
          <w:tcPr>
            <w:tcW w:w="100" w:type="dxa"/>
            <w:vAlign w:val="bottom"/>
            <w:shd w:val="clear" w:color="auto" w:fill="CCFFCC"/>
          </w:tcPr>
          <w:p>
            <w:pPr>
              <w:spacing w:after="0"/>
              <w:rPr>
                <w:sz w:val="18"/>
                <w:szCs w:val="18"/>
                <w:color w:val="auto"/>
              </w:rPr>
            </w:pPr>
          </w:p>
        </w:tc>
      </w:tr>
      <w:tr>
        <w:trPr>
          <w:trHeight w:val="216"/>
        </w:trPr>
        <w:tc>
          <w:tcPr>
            <w:tcW w:w="46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8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168,310</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168,310</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214,831</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23.62</w:t>
            </w:r>
          </w:p>
        </w:tc>
        <w:tc>
          <w:tcPr>
            <w:tcW w:w="1100" w:type="dxa"/>
            <w:vAlign w:val="bottom"/>
          </w:tcPr>
          <w:p>
            <w:pPr>
              <w:jc w:val="center"/>
              <w:ind w:left="10"/>
              <w:spacing w:after="0"/>
              <w:rPr>
                <w:sz w:val="20"/>
                <w:szCs w:val="20"/>
                <w:color w:val="auto"/>
              </w:rPr>
            </w:pPr>
            <w:r>
              <w:rPr>
                <w:rFonts w:ascii="Arial" w:cs="Arial" w:eastAsia="Arial" w:hAnsi="Arial"/>
                <w:sz w:val="18"/>
                <w:szCs w:val="18"/>
                <w:color w:val="auto"/>
                <w:w w:val="88"/>
              </w:rPr>
              <w:t>24.32</w:t>
            </w:r>
          </w:p>
        </w:tc>
        <w:tc>
          <w:tcPr>
            <w:tcW w:w="100" w:type="dxa"/>
            <w:vAlign w:val="bottom"/>
          </w:tcPr>
          <w:p>
            <w:pPr>
              <w:spacing w:after="0"/>
              <w:rPr>
                <w:sz w:val="18"/>
                <w:szCs w:val="18"/>
                <w:color w:val="auto"/>
              </w:rPr>
            </w:pPr>
          </w:p>
        </w:tc>
      </w:tr>
      <w:tr>
        <w:trPr>
          <w:trHeight w:val="223"/>
        </w:trPr>
        <w:tc>
          <w:tcPr>
            <w:tcW w:w="46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tcBorders>
              <w:bottom w:val="single" w:sz="8" w:color="CCFFCC"/>
            </w:tcBorders>
            <w:shd w:val="clear" w:color="auto" w:fill="CCFFCC"/>
          </w:tcPr>
          <w:p>
            <w:pPr>
              <w:spacing w:after="0"/>
              <w:rPr>
                <w:sz w:val="19"/>
                <w:szCs w:val="19"/>
                <w:color w:val="auto"/>
              </w:rPr>
            </w:pPr>
          </w:p>
        </w:tc>
        <w:tc>
          <w:tcPr>
            <w:tcW w:w="160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224,045</w:t>
            </w:r>
          </w:p>
        </w:tc>
        <w:tc>
          <w:tcPr>
            <w:tcW w:w="20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206,589</w:t>
            </w:r>
          </w:p>
        </w:tc>
        <w:tc>
          <w:tcPr>
            <w:tcW w:w="22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2"/>
              </w:rPr>
              <w:t>174,045</w:t>
            </w:r>
          </w:p>
        </w:tc>
        <w:tc>
          <w:tcPr>
            <w:tcW w:w="1320" w:type="dxa"/>
            <w:vAlign w:val="bottom"/>
            <w:tcBorders>
              <w:bottom w:val="single" w:sz="8" w:color="CCFFCC"/>
            </w:tcBorders>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88"/>
              </w:rPr>
              <w:t>23.62</w:t>
            </w:r>
          </w:p>
        </w:tc>
        <w:tc>
          <w:tcPr>
            <w:tcW w:w="1100" w:type="dxa"/>
            <w:vAlign w:val="bottom"/>
            <w:tcBorders>
              <w:bottom w:val="single" w:sz="8" w:color="CCFFCC"/>
            </w:tcBorders>
            <w:shd w:val="clear" w:color="auto" w:fill="CCFFCC"/>
          </w:tcPr>
          <w:p>
            <w:pPr>
              <w:jc w:val="center"/>
              <w:ind w:left="10"/>
              <w:spacing w:after="0"/>
              <w:rPr>
                <w:sz w:val="20"/>
                <w:szCs w:val="20"/>
                <w:color w:val="auto"/>
              </w:rPr>
            </w:pPr>
            <w:r>
              <w:rPr>
                <w:rFonts w:ascii="Arial" w:cs="Arial" w:eastAsia="Arial" w:hAnsi="Arial"/>
                <w:sz w:val="18"/>
                <w:szCs w:val="18"/>
                <w:color w:val="auto"/>
                <w:w w:val="88"/>
              </w:rPr>
              <w:t>24.32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795,155</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777,699</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1,038,276</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6" w:name="page97"/>
    <w:bookmarkEnd w:id="96"/>
    <w:p>
      <w:pPr>
        <w:jc w:val="both"/>
        <w:ind w:firstLine="648"/>
        <w:spacing w:after="0" w:line="264" w:lineRule="auto"/>
        <w:rPr>
          <w:sz w:val="20"/>
          <w:szCs w:val="20"/>
          <w:color w:val="auto"/>
        </w:rPr>
      </w:pPr>
      <w:r>
        <w:rPr>
          <w:rFonts w:ascii="Arial" w:cs="Arial" w:eastAsia="Arial" w:hAnsi="Arial"/>
          <w:sz w:val="18"/>
          <w:szCs w:val="18"/>
          <w:color w:val="auto"/>
        </w:rPr>
        <w:t>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April 2014.</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2009, Credicorp had a new plan to certain key employees. Under this new plan (stock awards), Credicorp grants its own shares to the plan beneficiaries. Shares granted will vest up to 33.3% percent of all granted shares in each one of the subsequent three years to the grant date (April of each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movement of Stock Awards for the years ended December 31, 2010 and 2009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Shares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Deferred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Granted</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Vested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Expense</w:t>
            </w: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US$(000)</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Granted in 2009</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227,000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Vested in 2009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104,042</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5,850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227,000</w:t>
            </w: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104,042</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5,850</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 in 2010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169,658</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Vested in 2010 (2009)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81,972</w:t>
            </w: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3,563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Vested in 2010 (2010)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77,760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396,658</w:t>
            </w:r>
          </w:p>
        </w:tc>
        <w:tc>
          <w:tcPr>
            <w:tcW w:w="16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263,774</w:t>
            </w:r>
          </w:p>
        </w:tc>
        <w:tc>
          <w:tcPr>
            <w:tcW w:w="16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17,052</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stock awards granted is estimated at the grant date using a binomial pricing model with similar key assumptions as those used for the valuation of SARs, taking into account the terms and conditions upon which the shares were granted. Credicorp assumes the payment of the related income tax on behalf of its employees, which corresponds to 30 percent of the benefit, however, capital gain taxes are assumed by employees. Credicorp estimates said income tax over the basis of the fair value of the shares granted at the grant date.</w:t>
      </w:r>
    </w:p>
    <w:p>
      <w:pPr>
        <w:spacing w:after="0" w:line="21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Credicorp’s management is the responsibility of its Board of Directors, which, pursuant to Credicorp’s bye-laws, is comprised of eight members. Directors need not be shareholders. Directors are elected and their remuneration is determined at Annual General Shareholders’ Meetings. Directors hold office for three-year terms. The date of expiration of our current Board of Directors is March 31, 2014. Our current directors have no benefits in addition to the remuneration agreed at the Annual General Shareholders’ Meetings, with the exception of the members of the audit committee which received an additional remuneration determined by the board. They also do not have any benefits that could be enjoyed at the termination of their service terms.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Credicorp’s bye-laws, the required quorum for business to take place during a Board meeting shall be a majority of the Directors of the Company. The Board has the power to appoint any person as Director to fill a vacancy on the Board for the remainder of the period as a result of the death, disability, disqualification or resignation of any Director. A resolution in writing signed by all Directors shall be as valid as if had been passed at a meeting duly called and constituted</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Credicorp’s audit committee is responsible for assisting in the recommendation of independent auditors to be appointed at the Annual General Shareholders’ Meeting and reviewing the scope of internal and external audits. The Audit Committee also reviews compliance with internal control systems, reviews our annual financial statements before their presentation to regulatory bodies and maintains the integrity of the preparation of audits. The current members of the Audit Committee are Mr. Reynaldo Llosa (Chairman), Mr. Germán Suárez (financial expert) and Mr. Raimundo Morales, who was appointed by the board on October 27, 2010. The Audit Committee designated Mr. Benedicto Cigüeñas as advisor of the committee.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has also been assigned by the Board of Directors to oversee the internal audit departments at all its subsidiaries.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December 31, 2010, Credicorp had 19,641 employees, distributed as set forth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i w:val="1"/>
                <w:iCs w:val="1"/>
                <w:color w:val="auto"/>
                <w:w w:val="90"/>
              </w:rPr>
              <w:t>(Full-time employees)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11,654</w:t>
            </w:r>
          </w:p>
        </w:tc>
        <w:tc>
          <w:tcPr>
            <w:tcW w:w="15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16,748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16,148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PPS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2,567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2,611</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ASHC</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c>
          <w:tcPr>
            <w:tcW w:w="15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Prima AFP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750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430</w:t>
            </w:r>
          </w:p>
        </w:tc>
        <w:tc>
          <w:tcPr>
            <w:tcW w:w="15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Credicorp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15,478</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20,148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19,641</w:t>
            </w:r>
          </w:p>
        </w:tc>
      </w:tr>
    </w:tbl>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All bank employees in Peru are given the option of belonging to an employee union. These employee unions are collectively represented by the </w:t>
      </w:r>
      <w:r>
        <w:rPr>
          <w:rFonts w:ascii="Arial" w:cs="Arial" w:eastAsia="Arial" w:hAnsi="Arial"/>
          <w:sz w:val="17"/>
          <w:szCs w:val="17"/>
          <w:i w:val="1"/>
          <w:iCs w:val="1"/>
          <w:color w:val="auto"/>
        </w:rPr>
        <w:t xml:space="preserve">Federación de Empleados Bancarios </w:t>
      </w:r>
      <w:r>
        <w:rPr>
          <w:rFonts w:ascii="Arial" w:cs="Arial" w:eastAsia="Arial" w:hAnsi="Arial"/>
          <w:sz w:val="17"/>
          <w:szCs w:val="17"/>
          <w:color w:val="auto"/>
        </w:rPr>
        <w:t>(the Federation of Banking Employees or FEB). In order to negotiate a collective agreement on behalf of its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2009, no BCP employees belonged to a union. The last strike by union employees occurred in 1991 and did not interfere with BCP’s operations.</w:t>
      </w:r>
    </w:p>
    <w:p>
      <w:pPr>
        <w:spacing w:after="0" w:line="17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of February 14, 2011, the Romero family owned 14.16 million (15.00%) of our common shares. While Mr. Luis Enrique Yarur does not individually own in excess of 1% of Credicorp's shares, he is a controlling shareholder of Banco de Chile e Inversiones (BCI), which owns 1.68 million ( 1.77%) of Credicorp’s common shares. None of our other directors or executive officers beneficially own more than 1% of our common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Major Shareholders and Related Party Transactions—(A) Major Shareholders.” Other members of the Board of Directors that own our common shares are Mr. Raimundo Morales, Mr. Fernando Fort, Mr. Reynaldo Llosa, Mr. Juan Carlos Verme, Mr. Felipe Ortiz de Zevallos and Mr. Germán Suárez. Each of these directors own less than 1% of our total outstanding common shares.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2010, Credicorp had issued 94,382,317 common shares, of which 14,620,845 were held by ASHC. Under Bermuda law, ASHC has the right to vote the common shares it owns. In order to restructure long term holdings, substantially all of our common shares held by BCP and PPS were transferred to ASHC in April 2004.</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provides details about the percentage of Credicorp’s common shares owned by holders of 5% or more of our total common shares, as of February 14,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00" w:type="dxa"/>
            <w:vAlign w:val="bottom"/>
            <w:tcBorders>
              <w:bottom w:val="single" w:sz="8" w:color="auto"/>
            </w:tcBorders>
          </w:tcPr>
          <w:p>
            <w:pPr>
              <w:ind w:left="3320"/>
              <w:spacing w:after="0"/>
              <w:rPr>
                <w:sz w:val="20"/>
                <w:szCs w:val="20"/>
                <w:color w:val="auto"/>
              </w:rPr>
            </w:pPr>
            <w:r>
              <w:rPr>
                <w:rFonts w:ascii="Arial" w:cs="Arial" w:eastAsia="Arial" w:hAnsi="Arial"/>
                <w:sz w:val="18"/>
                <w:szCs w:val="18"/>
                <w:b w:val="1"/>
                <w:bCs w:val="1"/>
                <w:color w:val="auto"/>
              </w:rPr>
              <w:t>Owner</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 of Class(1)</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 (2)</w:t>
            </w:r>
          </w:p>
        </w:tc>
        <w:tc>
          <w:tcPr>
            <w:tcW w:w="16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14,620,845</w:t>
            </w:r>
          </w:p>
        </w:tc>
        <w:tc>
          <w:tcPr>
            <w:tcW w:w="178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1"/>
              </w:rPr>
              <w:t>15.49%</w:t>
            </w:r>
          </w:p>
        </w:tc>
        <w:tc>
          <w:tcPr>
            <w:tcW w:w="22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Romero family (3)</w:t>
            </w:r>
          </w:p>
        </w:tc>
        <w:tc>
          <w:tcPr>
            <w:tcW w:w="16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14,156,115</w:t>
            </w:r>
          </w:p>
        </w:tc>
        <w:tc>
          <w:tcPr>
            <w:tcW w:w="17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15.00%</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left="300" w:hanging="292"/>
        <w:spacing w:after="0"/>
        <w:tabs>
          <w:tab w:leader="none" w:pos="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225" w:lineRule="exact"/>
        <w:rPr>
          <w:rFonts w:ascii="Arial" w:cs="Arial" w:eastAsia="Arial" w:hAnsi="Arial"/>
          <w:sz w:val="18"/>
          <w:szCs w:val="18"/>
          <w:color w:val="auto"/>
        </w:rPr>
      </w:pPr>
    </w:p>
    <w:p>
      <w:pPr>
        <w:jc w:val="both"/>
        <w:ind w:firstLine="8"/>
        <w:spacing w:after="0" w:line="259" w:lineRule="auto"/>
        <w:tabs>
          <w:tab w:leader="none" w:pos="3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of February 14, 2011, Atlantic Security Bank (a subsidiary of ASHC) held 3,757,393 shares of Credicorp on behalf of clients as part of the Private Banking Services that ASB provides, and which shares are purchased or sold based on client instruction. Clients can decide at any time to exercise their voting power in any Shareholders’ Meeting. ASB does not have the power to dispose of these shares. Because the shares are held by ASB on behalf of clients, which have the power to vote the shares, ASHC disclaims beneficial ownership of the shares.</w:t>
      </w:r>
    </w:p>
    <w:p>
      <w:pPr>
        <w:spacing w:after="0" w:line="186" w:lineRule="exact"/>
        <w:rPr>
          <w:rFonts w:ascii="Arial" w:cs="Arial" w:eastAsia="Arial" w:hAnsi="Arial"/>
          <w:sz w:val="18"/>
          <w:szCs w:val="18"/>
          <w:color w:val="auto"/>
        </w:rPr>
      </w:pPr>
    </w:p>
    <w:p>
      <w:pPr>
        <w:ind w:firstLine="8"/>
        <w:spacing w:after="0" w:line="277" w:lineRule="auto"/>
        <w:tabs>
          <w:tab w:leader="none" w:pos="30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Paoletti and his family or companies owned or controlled by him. Mr. Romero P. is the Chairman of the Board.</w:t>
      </w:r>
    </w:p>
    <w:p>
      <w:pPr>
        <w:spacing w:after="0" w:line="34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98" w:name="page99"/>
    <w:bookmarkEnd w:id="98"/>
    <w:p>
      <w:pPr>
        <w:jc w:val="both"/>
        <w:ind w:firstLine="648"/>
        <w:spacing w:after="0" w:line="277" w:lineRule="auto"/>
        <w:rPr>
          <w:sz w:val="20"/>
          <w:szCs w:val="20"/>
          <w:color w:val="auto"/>
        </w:rPr>
      </w:pPr>
      <w:r>
        <w:rPr>
          <w:rFonts w:ascii="Arial" w:cs="Arial" w:eastAsia="Arial" w:hAnsi="Arial"/>
          <w:sz w:val="18"/>
          <w:szCs w:val="18"/>
          <w:color w:val="auto"/>
        </w:rPr>
        <w:t>Approximately 15.68% of Credicorp’s total issued and outstanding common shares are currently held in 2,819 individual accounts with Cavali, a Peruvian securities clearing company.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February 14, 2011, 79,761,472 of common shares of Credicorp (excluding the 14,620,845 shares held by ASHC) were outstanding, of which approximately 67.34% were held in the United States. There were approximately 151 registered holders of Credicorp’s common shares in the United States. Because many of these common shares were held by brokers or other nominees, and because of the impracticability of obtaining accurate residence information for all beneficial shareholders, the number of registered holders in the United States is not a representative figure of the beneficial holders or of the residence of beneficial holders. Credicorp is neither directly nor indirectly controlled by another corporation or by any foreign government.</w:t>
      </w:r>
    </w:p>
    <w:p>
      <w:pPr>
        <w:spacing w:after="0" w:line="154"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Bermuda law, Credicorp is not subject to any restrictions on transactions with affiliates, other than such restrictions as are applicable to Bermuda companies generally. Credicorp’s bye-laws provide that a director may not vote with respect to any contract or proposed contract or arrangement in which that director has an interest or a conflict of interest. Credicorp has not engaged in any transactions with related parties except through our subsidiaries.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consolidated financial statements as of December 31, 2008, 2009 and 2010 include transactions with related parties. For its 2008, 2009 and 2010 consolidated financial statements, Credicorp defines related parties as (i) related companies, (ii) its Board of Directors, (iii) its key executives (defined as the management of our holdings) and (iv) enterprises that are controlled by these individuals or entities through majority shareholding or their role as chairman or principal executive officer in those companies.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main transactions with related companies as of December 31, 2008, 2009 and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Related companies</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spacing w:after="0" w:line="201" w:lineRule="exact"/>
              <w:rPr>
                <w:sz w:val="20"/>
                <w:szCs w:val="20"/>
                <w:color w:val="auto"/>
              </w:rPr>
            </w:pPr>
            <w:r>
              <w:rPr>
                <w:rFonts w:ascii="Arial" w:cs="Arial" w:eastAsia="Arial" w:hAnsi="Arial"/>
                <w:sz w:val="18"/>
                <w:szCs w:val="18"/>
                <w:i w:val="1"/>
                <w:iCs w:val="1"/>
                <w:color w:val="auto"/>
                <w:w w:val="94"/>
              </w:rPr>
              <w:t>(U.S. Dollars in</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87"/>
              </w:rPr>
              <w:t>thousands)</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143,855</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214,182</w:t>
            </w: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4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63,782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92,747</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34,669</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82,051</w:t>
            </w: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Contingent credits</w:t>
            </w:r>
          </w:p>
        </w:tc>
        <w:tc>
          <w:tcPr>
            <w:tcW w:w="4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23,574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20,122</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4,896</w:t>
            </w: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4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(283)</w:t>
            </w: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Credicorp made these loans, contingent operations and derivative contracts with related parties in the ordinary course of business and in accordance with the normal market terms available to other customers. Outstanding loan balances at the year-end are granted by collateral given by the related party. The loans to related companies as of December 31, 2010 have maturity dates ranging between January 2011 and November 2018 and an accrued annual interest average of 5.9% (and as of December 31, 2009 had a maturity between January 2010 and November 2018 and an accrued annual interest average of 5.5%). As of December 31, 2010 and 2009, there was no provision for doubtful debts due to related parties. This amount is established based on an assessment performed on a continuous basis on the financial position of the related party and the market in which it operates. The increase registered in 2010 in relation to the level of direct loans in 2009 was mainly explained by additional financing granted to five entities: Agrícola del Chira S.A., Centro Empresarial El Derby S.A., Inversiones Centenario S.A., Alicorp S.A. and Zurich Capital Inc..</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2008, 2009 and 2010, Credicorp’s directors, officers and employees had been involved, directly and indirectly, in credit transactions with certain subsidiaries, as permitted by Peruvian Law No. 26702. This law regulates and limits certain transactions with employees, directors and officers of banks and insurance companies in Peru. As of December 31, 2008, 2009 and 2010, direct loans to employees, directors and key management of Credicorp amounted to US$116.3 million, US$133.3 million and US$140.0 million, respectively. These loans have been granted in the ordinary course of business and on market terms as allowed by regulations promulgated under Section 402 of Sarbanes-Oxley. Therefore, no privileged conditions have been granted on any type of loans to directors and executive officers. These loans are paid monthly and earn interest at rates that are similar to market rates for comparable loans.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does not grant directors or key personnel loans that are guaranteed with its shares or shares of its other companies.</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Credicorp’s key executives’ compensation as of December 31, 2008, 2009 and 2010 was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4"/>
              </w:rPr>
              <w:t>(U.S. Dollars in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87"/>
              </w:rPr>
              <w:t>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6,211</w:t>
            </w:r>
          </w:p>
        </w:tc>
        <w:tc>
          <w:tcPr>
            <w:tcW w:w="14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4,717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Salaries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5,625</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4,720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Director compensation</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1,303</w:t>
            </w:r>
          </w:p>
        </w:tc>
        <w:tc>
          <w:tcPr>
            <w:tcW w:w="14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1,698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executives’ compensation comprises all the payments received by them, including the taxes that we assumed.</w:t>
      </w:r>
    </w:p>
    <w:p>
      <w:pPr>
        <w:spacing w:after="0" w:line="248" w:lineRule="exact"/>
        <w:rPr>
          <w:sz w:val="20"/>
          <w:szCs w:val="20"/>
          <w:color w:val="auto"/>
        </w:rPr>
      </w:pPr>
    </w:p>
    <w:p>
      <w:pPr>
        <w:ind w:left="660" w:right="8260" w:hanging="652"/>
        <w:spacing w:after="0" w:line="532"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0" w:name="page101"/>
    <w:bookmarkEnd w:id="100"/>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660" w:right="6260" w:hanging="652"/>
        <w:spacing w:after="0" w:line="50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i w:val="1"/>
          <w:iCs w:val="1"/>
          <w:color w:val="auto"/>
        </w:rPr>
        <w:t>Consolidated Financial Statements</w:t>
      </w:r>
    </w:p>
    <w:p>
      <w:pPr>
        <w:ind w:left="660" w:right="8120"/>
        <w:spacing w:after="0" w:line="516" w:lineRule="auto"/>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18. Financial Statements.”</w:t>
      </w:r>
      <w:r>
        <w:rPr>
          <w:rFonts w:ascii="Arial" w:cs="Arial" w:eastAsia="Arial" w:hAnsi="Arial"/>
          <w:sz w:val="18"/>
          <w:szCs w:val="18"/>
          <w:i w:val="1"/>
          <w:iCs w:val="1"/>
          <w:color w:val="auto"/>
        </w:rPr>
        <w:t xml:space="preserve"> Legal Proceedings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subsidiaries, are involved in certain legal proceedings that arise in the normal course of conducting business. We do not believe that any liabilities that may result from such proceedings would have a material adverse effect on our financial condition or results of operations, or on the financial condition or results of operations of any of our subsidiaries.</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Fairfield Sentry Limited, a fund administrator for the BVI funds under liquidation, has initiated a lawsuit against Atlantic Security Bank (ASB), and another lawsuit against Atlantic Alternative Fund (AAF), a fund administered by ASB, for the sums of US$127,506,333.21 and US$1,366,389.22, before the courts of the Canary Islands and the Cayman Islands, respectively. The lawsuits attempt to recover client monies that were withdrawn many years ago from funds administered by Fairfield, which in turn invested in Bernard L. Madoff Investment Securities LLC, in the United States. Both proceedings were initiated recently, and ASB is taking legal measures to obtain favorable sentences because it considers both claims to be unfounded.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Investigations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of our subsidiaries, are involved in any government investigation.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Bermuda law, we may declare and pay dividends from time to time so long as after payment of the dividends: (i) we are able to pay our liabilities as they become due, and (ii) the realizable value of our assets is not less than the aggregate value of our liabilities, issued share capital, and share premium accounts. We cannot make any assurances as to the amount of any dividends or as to whether any dividends will be paid at all, although we currently intend to declare and pay dividends annually, and our Board of Directors currently expects to authorize the payment of an annual dividend to the shareholders of no less than 25% of our consolidated net profits. However, our payment of dividends is subject to Bermuda law and to the discretion of our Board of Directors. The Board’s decision will depend on (i) general business conditions, (ii) our financial performance, (iii) the availability of dividends from our subsidiaries and any restrictions on their payment, and (iv) other factors that the Board may deem relevant.</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rely almost exclusively on dividends from our subsidiaries for the payment of our corporate expenses and for the distribution of dividends to holders of our common shares. Subject to certain reserve and capital adequacy requirements under applicable banking and insurance regulations, we are able to cause our subsidiaries to declare dividends. To the extent our subsidiaries do not have funds available or are otherwise restricted from paying us dividends, our ability to pay dividends on our common shares will be adversely affected. Currently, there are no restrictions on the ability of Grupo Credito, BCP, ASHC, PPS, and PV or any of our other subsidiaries to pay dividends abroad. In addition, Grupo Credito, BCP,PPS and PV intend to declare and pay dividends in Nuevos Soles, while we intend to declare and pay dividends in U.S. Dollars. If the value of the Nuevo Sol falls relative to the U.S. Dollar between the date of declaration and the date of payment of dividends, the value of the dividends we pay would be adversely affected.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3. Key Information—(A) Selected Financial Data—Exchange Rates.”</w:t>
      </w:r>
    </w:p>
    <w:p>
      <w:pPr>
        <w:spacing w:after="0" w:line="32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The following table shows cash and stock dividends that we paid in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Cash</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Shares Entitled</w:t>
            </w:r>
          </w:p>
        </w:tc>
        <w:tc>
          <w:tcPr>
            <w:tcW w:w="38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Dividends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Dividends</w:t>
            </w:r>
          </w:p>
        </w:tc>
      </w:tr>
      <w:tr>
        <w:trPr>
          <w:trHeight w:val="241"/>
        </w:trPr>
        <w:tc>
          <w:tcPr>
            <w:tcW w:w="20" w:type="dxa"/>
            <w:vAlign w:val="bottom"/>
          </w:tcPr>
          <w:p>
            <w:pPr>
              <w:spacing w:after="0"/>
              <w:rPr>
                <w:sz w:val="20"/>
                <w:szCs w:val="20"/>
                <w:color w:val="auto"/>
              </w:rPr>
            </w:pPr>
          </w:p>
        </w:tc>
        <w:tc>
          <w:tcPr>
            <w:tcW w:w="638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Dividends</w:t>
            </w:r>
          </w:p>
        </w:tc>
        <w:tc>
          <w:tcPr>
            <w:tcW w:w="3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3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jc w:val="right"/>
              <w:ind w:right="5950"/>
              <w:spacing w:after="0"/>
              <w:rPr>
                <w:sz w:val="20"/>
                <w:szCs w:val="20"/>
                <w:color w:val="auto"/>
              </w:rPr>
            </w:pPr>
            <w:r>
              <w:rPr>
                <w:rFonts w:ascii="Arial" w:cs="Arial" w:eastAsia="Arial" w:hAnsi="Arial"/>
                <w:sz w:val="18"/>
                <w:szCs w:val="18"/>
                <w:color w:val="auto"/>
                <w:w w:val="79"/>
              </w:rPr>
              <w:t>2000</w:t>
            </w:r>
          </w:p>
        </w:tc>
        <w:tc>
          <w:tcPr>
            <w:tcW w:w="2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0.10</w:t>
            </w:r>
          </w:p>
        </w:tc>
        <w:tc>
          <w:tcPr>
            <w:tcW w:w="1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950"/>
              <w:spacing w:after="0"/>
              <w:rPr>
                <w:sz w:val="20"/>
                <w:szCs w:val="20"/>
                <w:color w:val="auto"/>
              </w:rPr>
            </w:pPr>
            <w:r>
              <w:rPr>
                <w:rFonts w:ascii="Arial" w:cs="Arial" w:eastAsia="Arial" w:hAnsi="Arial"/>
                <w:sz w:val="18"/>
                <w:szCs w:val="18"/>
                <w:color w:val="auto"/>
                <w:w w:val="79"/>
              </w:rPr>
              <w:t>2001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0.10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jc w:val="right"/>
              <w:ind w:right="5950"/>
              <w:spacing w:after="0"/>
              <w:rPr>
                <w:sz w:val="20"/>
                <w:szCs w:val="20"/>
                <w:color w:val="auto"/>
              </w:rPr>
            </w:pPr>
            <w:r>
              <w:rPr>
                <w:rFonts w:ascii="Arial" w:cs="Arial" w:eastAsia="Arial" w:hAnsi="Arial"/>
                <w:sz w:val="18"/>
                <w:szCs w:val="18"/>
                <w:color w:val="auto"/>
                <w:w w:val="79"/>
              </w:rPr>
              <w:t>2002</w:t>
            </w:r>
          </w:p>
        </w:tc>
        <w:tc>
          <w:tcPr>
            <w:tcW w:w="2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0.40</w:t>
            </w:r>
          </w:p>
        </w:tc>
        <w:tc>
          <w:tcPr>
            <w:tcW w:w="1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950"/>
              <w:spacing w:after="0"/>
              <w:rPr>
                <w:sz w:val="20"/>
                <w:szCs w:val="20"/>
                <w:color w:val="auto"/>
              </w:rPr>
            </w:pPr>
            <w:r>
              <w:rPr>
                <w:rFonts w:ascii="Arial" w:cs="Arial" w:eastAsia="Arial" w:hAnsi="Arial"/>
                <w:sz w:val="18"/>
                <w:szCs w:val="18"/>
                <w:color w:val="auto"/>
                <w:w w:val="79"/>
              </w:rPr>
              <w:t>2003</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0.30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jc w:val="right"/>
              <w:ind w:right="5950"/>
              <w:spacing w:after="0"/>
              <w:rPr>
                <w:sz w:val="20"/>
                <w:szCs w:val="20"/>
                <w:color w:val="auto"/>
              </w:rPr>
            </w:pPr>
            <w:r>
              <w:rPr>
                <w:rFonts w:ascii="Arial" w:cs="Arial" w:eastAsia="Arial" w:hAnsi="Arial"/>
                <w:sz w:val="18"/>
                <w:szCs w:val="18"/>
                <w:color w:val="auto"/>
                <w:w w:val="79"/>
              </w:rPr>
              <w:t>2004</w:t>
            </w:r>
          </w:p>
        </w:tc>
        <w:tc>
          <w:tcPr>
            <w:tcW w:w="2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0.40</w:t>
            </w:r>
          </w:p>
        </w:tc>
        <w:tc>
          <w:tcPr>
            <w:tcW w:w="1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950"/>
              <w:spacing w:after="0"/>
              <w:rPr>
                <w:sz w:val="20"/>
                <w:szCs w:val="20"/>
                <w:color w:val="auto"/>
              </w:rPr>
            </w:pPr>
            <w:r>
              <w:rPr>
                <w:rFonts w:ascii="Arial" w:cs="Arial" w:eastAsia="Arial" w:hAnsi="Arial"/>
                <w:sz w:val="18"/>
                <w:szCs w:val="18"/>
                <w:color w:val="auto"/>
                <w:w w:val="79"/>
              </w:rPr>
              <w:t>2005</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0.80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jc w:val="right"/>
              <w:ind w:right="5950"/>
              <w:spacing w:after="0"/>
              <w:rPr>
                <w:sz w:val="20"/>
                <w:szCs w:val="20"/>
                <w:color w:val="auto"/>
              </w:rPr>
            </w:pPr>
            <w:r>
              <w:rPr>
                <w:rFonts w:ascii="Arial" w:cs="Arial" w:eastAsia="Arial" w:hAnsi="Arial"/>
                <w:sz w:val="18"/>
                <w:szCs w:val="18"/>
                <w:color w:val="auto"/>
                <w:w w:val="79"/>
              </w:rPr>
              <w:t>2006</w:t>
            </w:r>
          </w:p>
        </w:tc>
        <w:tc>
          <w:tcPr>
            <w:tcW w:w="2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1.10</w:t>
            </w:r>
          </w:p>
        </w:tc>
        <w:tc>
          <w:tcPr>
            <w:tcW w:w="1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950"/>
              <w:spacing w:after="0"/>
              <w:rPr>
                <w:sz w:val="20"/>
                <w:szCs w:val="20"/>
                <w:color w:val="auto"/>
              </w:rPr>
            </w:pPr>
            <w:r>
              <w:rPr>
                <w:rFonts w:ascii="Arial" w:cs="Arial" w:eastAsia="Arial" w:hAnsi="Arial"/>
                <w:sz w:val="18"/>
                <w:szCs w:val="18"/>
                <w:color w:val="auto"/>
                <w:w w:val="79"/>
              </w:rPr>
              <w:t>2007</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jc w:val="right"/>
              <w:ind w:right="5950"/>
              <w:spacing w:after="0"/>
              <w:rPr>
                <w:sz w:val="20"/>
                <w:szCs w:val="20"/>
                <w:color w:val="auto"/>
              </w:rPr>
            </w:pPr>
            <w:r>
              <w:rPr>
                <w:rFonts w:ascii="Arial" w:cs="Arial" w:eastAsia="Arial" w:hAnsi="Arial"/>
                <w:sz w:val="18"/>
                <w:szCs w:val="18"/>
                <w:color w:val="auto"/>
                <w:w w:val="79"/>
              </w:rPr>
              <w:t>2008</w:t>
            </w:r>
          </w:p>
        </w:tc>
        <w:tc>
          <w:tcPr>
            <w:tcW w:w="2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jc w:val="right"/>
              <w:ind w:right="5950"/>
              <w:spacing w:after="0"/>
              <w:rPr>
                <w:sz w:val="20"/>
                <w:szCs w:val="20"/>
                <w:color w:val="auto"/>
              </w:rPr>
            </w:pPr>
            <w:r>
              <w:rPr>
                <w:rFonts w:ascii="Arial" w:cs="Arial" w:eastAsia="Arial" w:hAnsi="Arial"/>
                <w:sz w:val="18"/>
                <w:szCs w:val="18"/>
                <w:color w:val="auto"/>
                <w:w w:val="79"/>
              </w:rPr>
              <w:t>2009</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1.70</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jc w:val="right"/>
              <w:ind w:right="5950"/>
              <w:spacing w:after="0"/>
              <w:rPr>
                <w:sz w:val="20"/>
                <w:szCs w:val="20"/>
                <w:color w:val="auto"/>
              </w:rPr>
            </w:pPr>
            <w:r>
              <w:rPr>
                <w:rFonts w:ascii="Arial" w:cs="Arial" w:eastAsia="Arial" w:hAnsi="Arial"/>
                <w:sz w:val="18"/>
                <w:szCs w:val="18"/>
                <w:color w:val="auto"/>
                <w:w w:val="79"/>
              </w:rPr>
              <w:t>2010</w:t>
            </w:r>
          </w:p>
        </w:tc>
        <w:tc>
          <w:tcPr>
            <w:tcW w:w="2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94,382,317</w:t>
            </w:r>
          </w:p>
        </w:tc>
        <w:tc>
          <w:tcPr>
            <w:tcW w:w="84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8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1.95</w:t>
            </w:r>
          </w:p>
        </w:tc>
        <w:tc>
          <w:tcPr>
            <w:tcW w:w="10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5"/>
              </w:rPr>
              <w:t>0.00</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23, 2011, our Board of Directors declared a cash dividend of US$1.95 per common share held at the close of business on April 19, 2011. This dividend was distributed on May 13, 2011.</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2" w:name="page103"/>
    <w:bookmarkEnd w:id="102"/>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Offer and Listing Details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Price History of Credicorp’s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shares have been traded on the New York Stock Exchange since October 25, 1995 under the symbol BAP. Our common shares also trade on the Lima Stock Exchange. They are quoted in U.S. Dollars on both the New York Stock Exchange and the Lima Stock Exchange. The table below sets forth, for the periods indicated, the reported high and low closing prices and average daily trading volume for our common shares on the New York Stock Exchange.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9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9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Low</w:t>
            </w:r>
          </w:p>
        </w:tc>
        <w:tc>
          <w:tcPr>
            <w:tcW w:w="4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45.42</w:t>
            </w: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21.88</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176,388</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76.81</w:t>
            </w:r>
          </w:p>
        </w:tc>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38.04</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279,602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86.19</w:t>
            </w: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30.23</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399,661</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78.35</w:t>
            </w:r>
          </w:p>
        </w:tc>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32.91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359,807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w w:val="98"/>
              </w:rPr>
              <w:t>127.52</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70.46</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253,573</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3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34.58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503,904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61.52</w:t>
            </w: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45.83</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408,861</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76.26</w:t>
            </w:r>
          </w:p>
        </w:tc>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54.81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264,382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78.35</w:t>
            </w: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66.70</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269,604</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86.48</w:t>
            </w: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70.46</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205,535</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97.56</w:t>
            </w:r>
          </w:p>
        </w:tc>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78.39</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251,731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8"/>
              </w:rPr>
              <w:t>117.30</w:t>
            </w: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90.24</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296,577</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127.52</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115.60</w:t>
            </w:r>
          </w:p>
        </w:tc>
        <w:tc>
          <w:tcPr>
            <w:tcW w:w="4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258,169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3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119.77</w:t>
            </w:r>
          </w:p>
        </w:tc>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97.17</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106,917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April 20)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w w:val="98"/>
              </w:rPr>
              <w:t>105.57</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92.82</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201,537</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 Bloomberg</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3" w:name="page104"/>
    <w:bookmarkEnd w:id="103"/>
    <w:p>
      <w:pPr>
        <w:ind w:right="20"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our common shares on the Lima Stock Exchange.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Low</w:t>
            </w:r>
          </w:p>
        </w:tc>
        <w:tc>
          <w:tcPr>
            <w:tcW w:w="22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(U.S. Dollars)</w:t>
            </w:r>
          </w:p>
        </w:tc>
        <w:tc>
          <w:tcPr>
            <w:tcW w:w="2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45.58</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38.27</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16,950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2007</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76.48</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38.24</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22,553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86.00</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31.01</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15,386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2009</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77.95</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33.21</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127.4</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70.86</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6,114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53.10</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34.90</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16,530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61.59</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45.75</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12,652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75.71</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54.54</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7,704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77.95</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67.41</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10,599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2010</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86.60</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70.86</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10,624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97.25</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78.50</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116.95</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90.00</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5,128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127.40</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115.19</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121.15</w:t>
            </w:r>
          </w:p>
        </w:tc>
        <w:tc>
          <w:tcPr>
            <w:tcW w:w="124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97.19</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7,721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April 20)</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105.30</w:t>
            </w:r>
          </w:p>
        </w:tc>
        <w:tc>
          <w:tcPr>
            <w:tcW w:w="12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8"/>
              </w:rPr>
              <w:t>90.40</w:t>
            </w:r>
          </w:p>
        </w:tc>
        <w:tc>
          <w:tcPr>
            <w:tcW w:w="12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13,185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our common shares on the New York Stock Exchange.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High</w:t>
            </w:r>
          </w:p>
        </w:tc>
        <w:tc>
          <w:tcPr>
            <w:tcW w:w="220" w:type="dxa"/>
            <w:vAlign w:val="bottom"/>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40" w:type="dxa"/>
            <w:vAlign w:val="bottom"/>
            <w:tcBorders>
              <w:bottom w:val="single" w:sz="8" w:color="auto"/>
            </w:tcBorders>
          </w:tcPr>
          <w:p>
            <w:pPr>
              <w:ind w:left="640"/>
              <w:spacing w:after="0"/>
              <w:rPr>
                <w:sz w:val="20"/>
                <w:szCs w:val="20"/>
                <w:color w:val="auto"/>
              </w:rPr>
            </w:pPr>
            <w:r>
              <w:rPr>
                <w:rFonts w:ascii="Arial" w:cs="Arial" w:eastAsia="Arial" w:hAnsi="Arial"/>
                <w:sz w:val="18"/>
                <w:szCs w:val="18"/>
                <w:i w:val="1"/>
                <w:iCs w:val="1"/>
                <w:color w:val="auto"/>
                <w:w w:val="92"/>
              </w:rPr>
              <w:t>(U.S.</w:t>
            </w: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October</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124.66</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113.23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November</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124.90</w:t>
            </w:r>
          </w:p>
        </w:tc>
        <w:tc>
          <w:tcPr>
            <w:tcW w:w="12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0"/>
              </w:rPr>
              <w:t>114.61</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December</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127.14</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118.74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January</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119.77</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104.26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108.11</w:t>
            </w:r>
          </w:p>
        </w:tc>
        <w:tc>
          <w:tcPr>
            <w:tcW w:w="12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97.17</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March</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109.21</w:t>
            </w:r>
          </w:p>
        </w:tc>
        <w:tc>
          <w:tcPr>
            <w:tcW w:w="12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100.62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 (through April 20)</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7"/>
              </w:rPr>
              <w:t>105.57</w:t>
            </w:r>
          </w:p>
        </w:tc>
        <w:tc>
          <w:tcPr>
            <w:tcW w:w="12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90.82</w:t>
            </w:r>
          </w:p>
        </w:tc>
        <w:tc>
          <w:tcPr>
            <w:tcW w:w="12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our common shares on the Lima Stock Exchange.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High</w:t>
            </w:r>
          </w:p>
        </w:tc>
        <w:tc>
          <w:tcPr>
            <w:tcW w:w="24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16"/>
        </w:trPr>
        <w:tc>
          <w:tcPr>
            <w:tcW w:w="880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Arial" w:cs="Arial" w:eastAsia="Arial" w:hAnsi="Arial"/>
                <w:sz w:val="18"/>
                <w:szCs w:val="18"/>
                <w:i w:val="1"/>
                <w:iCs w:val="1"/>
                <w:color w:val="auto"/>
                <w:w w:val="92"/>
              </w:rPr>
              <w:t>(U.S.</w:t>
            </w:r>
          </w:p>
        </w:tc>
        <w:tc>
          <w:tcPr>
            <w:tcW w:w="13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w:t>
            </w:r>
          </w:p>
        </w:tc>
        <w:tc>
          <w:tcPr>
            <w:tcW w:w="100" w:type="dxa"/>
            <w:vAlign w:val="bottom"/>
          </w:tcPr>
          <w:p>
            <w:pPr>
              <w:spacing w:after="0"/>
              <w:rPr>
                <w:sz w:val="18"/>
                <w:szCs w:val="18"/>
                <w:color w:val="auto"/>
              </w:rPr>
            </w:pPr>
          </w:p>
        </w:tc>
      </w:tr>
      <w:tr>
        <w:trPr>
          <w:trHeight w:val="216"/>
        </w:trPr>
        <w:tc>
          <w:tcPr>
            <w:tcW w:w="880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2010</w:t>
            </w:r>
          </w:p>
        </w:tc>
        <w:tc>
          <w:tcPr>
            <w:tcW w:w="1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October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124.01</w:t>
            </w:r>
          </w:p>
        </w:tc>
        <w:tc>
          <w:tcPr>
            <w:tcW w:w="13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112.83</w:t>
            </w:r>
          </w:p>
        </w:tc>
        <w:tc>
          <w:tcPr>
            <w:tcW w:w="100" w:type="dxa"/>
            <w:vAlign w:val="bottom"/>
          </w:tcPr>
          <w:p>
            <w:pPr>
              <w:spacing w:after="0"/>
              <w:rPr>
                <w:sz w:val="18"/>
                <w:szCs w:val="18"/>
                <w:color w:val="auto"/>
              </w:rPr>
            </w:pPr>
          </w:p>
        </w:tc>
      </w:tr>
      <w:tr>
        <w:trPr>
          <w:trHeight w:val="216"/>
        </w:trPr>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November</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124.79</w:t>
            </w:r>
          </w:p>
        </w:tc>
        <w:tc>
          <w:tcPr>
            <w:tcW w:w="13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7"/>
              </w:rPr>
              <w:t>113.72</w:t>
            </w:r>
          </w:p>
        </w:tc>
        <w:tc>
          <w:tcPr>
            <w:tcW w:w="100" w:type="dxa"/>
            <w:vAlign w:val="bottom"/>
            <w:shd w:val="clear" w:color="auto" w:fill="CCFFC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December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127.30</w:t>
            </w:r>
          </w:p>
        </w:tc>
        <w:tc>
          <w:tcPr>
            <w:tcW w:w="138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118.50</w:t>
            </w:r>
          </w:p>
        </w:tc>
        <w:tc>
          <w:tcPr>
            <w:tcW w:w="100" w:type="dxa"/>
            <w:vAlign w:val="bottom"/>
          </w:tcPr>
          <w:p>
            <w:pPr>
              <w:spacing w:after="0"/>
              <w:rPr>
                <w:sz w:val="18"/>
                <w:szCs w:val="18"/>
                <w:color w:val="auto"/>
              </w:rPr>
            </w:pPr>
          </w:p>
        </w:tc>
      </w:tr>
      <w:tr>
        <w:trPr>
          <w:trHeight w:val="216"/>
        </w:trPr>
        <w:tc>
          <w:tcPr>
            <w:tcW w:w="880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2011</w:t>
            </w:r>
          </w:p>
        </w:tc>
        <w:tc>
          <w:tcPr>
            <w:tcW w:w="11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January</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121.15</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104.20</w:t>
            </w:r>
          </w:p>
        </w:tc>
        <w:tc>
          <w:tcPr>
            <w:tcW w:w="100" w:type="dxa"/>
            <w:vAlign w:val="bottom"/>
          </w:tcPr>
          <w:p>
            <w:pPr>
              <w:spacing w:after="0"/>
              <w:rPr>
                <w:sz w:val="18"/>
                <w:szCs w:val="18"/>
                <w:color w:val="auto"/>
              </w:rPr>
            </w:pPr>
          </w:p>
        </w:tc>
      </w:tr>
      <w:tr>
        <w:trPr>
          <w:trHeight w:val="216"/>
        </w:trPr>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February</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108.60</w:t>
            </w:r>
          </w:p>
        </w:tc>
        <w:tc>
          <w:tcPr>
            <w:tcW w:w="13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97.19</w:t>
            </w:r>
          </w:p>
        </w:tc>
        <w:tc>
          <w:tcPr>
            <w:tcW w:w="100" w:type="dxa"/>
            <w:vAlign w:val="bottom"/>
            <w:shd w:val="clear" w:color="auto" w:fill="CCFFCC"/>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March</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109.00</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101.04</w:t>
            </w:r>
          </w:p>
        </w:tc>
        <w:tc>
          <w:tcPr>
            <w:tcW w:w="100" w:type="dxa"/>
            <w:vAlign w:val="bottom"/>
          </w:tcPr>
          <w:p>
            <w:pPr>
              <w:spacing w:after="0"/>
              <w:rPr>
                <w:sz w:val="18"/>
                <w:szCs w:val="18"/>
                <w:color w:val="auto"/>
              </w:rPr>
            </w:pPr>
          </w:p>
        </w:tc>
      </w:tr>
      <w:tr>
        <w:trPr>
          <w:trHeight w:val="216"/>
        </w:trPr>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April (through April 20)</w:t>
            </w:r>
          </w:p>
        </w:tc>
        <w:tc>
          <w:tcPr>
            <w:tcW w:w="11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105.30</w:t>
            </w:r>
          </w:p>
        </w:tc>
        <w:tc>
          <w:tcPr>
            <w:tcW w:w="138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90.40</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20 2011, the last sale price of our common shares on the New York Stock Exchange was US$90.82 per share. On April 20, 2011, the closing price of our common shares on the Lima Stock Exchange was US$90.40.</w:t>
      </w:r>
    </w:p>
    <w:p>
      <w:pPr>
        <w:spacing w:after="0" w:line="166" w:lineRule="exact"/>
        <w:rPr>
          <w:sz w:val="20"/>
          <w:szCs w:val="20"/>
          <w:color w:val="auto"/>
        </w:rPr>
      </w:pPr>
    </w:p>
    <w:p>
      <w:pPr>
        <w:ind w:left="660" w:right="9240" w:hanging="652"/>
        <w:spacing w:after="0" w:line="563"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Lima Stock Exchange</w:t>
      </w:r>
    </w:p>
    <w:p>
      <w:pPr>
        <w:spacing w:after="0" w:line="221" w:lineRule="exact"/>
        <w:rPr>
          <w:sz w:val="20"/>
          <w:szCs w:val="20"/>
          <w:color w:val="auto"/>
        </w:rPr>
      </w:pPr>
    </w:p>
    <w:p>
      <w:pPr>
        <w:ind w:left="980" w:hanging="324"/>
        <w:spacing w:after="0"/>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Trading</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2010, there were 254 companies listed on the Bolsa de Valores de Lima (Lima Stock Exchange). The Lima Stock Exchange is Peru’s only securities exchange and was established in 1970. Trading on the Lima Stock Exchange is primarily done on an electronic trading system. Trading hours are Monday through Friday as follows: 8:00 a.m.-8:30 a.m. (pre-market ordering); 8:30 a.m.-3:00 p.m. (trading); and 3:00 p.m.-3:10 p.m. (after market sales). Equity securities may also be traded in an open outcry auction floor session, which was the exclusive method of trading equity securities prior to the introduction of electronic trading. Nearly 100% of all transactions on the Lima Stock Exchange currently take place on the electronic system.</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Transactions during both the open outcry and the electronic sessions are executed through brokerage firms and stock brokers on behalf of their clients. Brokers submit their orders in strict accordance with written instructions, following the chronological order in which they were received. The orders specify the type of security ordered or offered as well as the amounts and the price of the sale or purchase. In general, share prices are permitted to increase or decrease up to 15% for Peruvian companies, and up to 30% for foreign companies, within a single trading day.</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Peruvian stock market capitalization increased, in U.S. Dollar terms, by 65.8% in 2006, 80.3% in 2007. It decreased by 47.1% in 2008 as a result of the global economic crisis. It rebounded in 2009, growing by 87.5%, and during 2010, it again performed well, growing by 56.2%.</w:t>
      </w:r>
    </w:p>
    <w:p>
      <w:pPr>
        <w:spacing w:after="0" w:line="17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Traded volume in 2010 was higher than the figure reported during 2009, however, it is considerably lower than the 2007 figure. The accumulated total for 2010 was US$6,700 million, with 88.9% relating to cash trading in equity securities and 11.1% to cash trading in fixed-income securities.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Indice General de la Bolsa de Valores de Lima (the General Index of the Lima Stock Exchange or IGBVL) increased, in U.S. dollar terms, 24.6% in 2005, 186.9% in 2006, and 45.6% in 2007. It decreased 61.5% in 2008, but increased 101.0% in 2009 and 69.7% in 2010.</w:t>
      </w:r>
    </w:p>
    <w:p>
      <w:pPr>
        <w:spacing w:after="0" w:line="346"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5" w:name="page106"/>
    <w:bookmarkEnd w:id="105"/>
    <w:p>
      <w:pPr>
        <w:ind w:left="1300" w:hanging="644"/>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Market Regulation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Securities Market Law (Legislative Decree 861) addresses matters such as transparency and disclosure, takeovers and corporate actions, capital market instruments and operations, the securities markets and broker-dealers, and risk rating agencies. CONASEV, a governmental entity reporting to Peru’s Ministry of Economy and Finance, was given additional responsibilities relating to the supervision, regulation, and development of the securities market, while the Lima Stock Exchange and its member firms were given the status of self-regulatory organizations. Additionally, a unified system of guarantees and capital requirements was established for the Lima Stock Exchange and its member firms.</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These powers include studying, promoting, and making rules for the securities market, supervising its participants, and approving the registration of public offerings of securities.</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CONASEV supervises the securities markets and the dissemination of information to investors. It also (i) governs the operations of the Public Registry of Securities and Brokers, (ii) regulates mutual funds and their management companies, (iii) monitors compliance with accounting regulations by companies under its supervision as well as the accuracy of financial statements and (iv) registers and supervises auditors who provide accounting services to those companies under CONASEV’s supervision.</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On August 22, 1995, CONASEV approved regulations governing the public offering of securities in Peru by entities organized outside of Peru and, for the first time, authorized foreign companies to be listed on the Lima Stock Exchange. On October 25, 1995, we became the first non-Peruvian company to list our shares on the Lima Stock Exchange.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Overview—(11) Supervision and Regulation.”</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Securities Market Law, the Lima Stock Exchange must maintain a guarantee fund that is funded by its member firms. The actual contributions to be made by the 23 member firms of the Lima Stock Exchange are based on volume traded over the exchange. At present, the fund has approximately S/.34 million (US$12.1 million). In addition to the guarantee fund managed by the Lima Stock Exchange, each member firm is required to maintain a guarantee for operations carried on outside the exchange in favor of CONASEV. Such guarantees are generally established through stand-by letters of credit issued by local banks.</w:t>
      </w:r>
    </w:p>
    <w:p>
      <w:pPr>
        <w:spacing w:after="0" w:line="184" w:lineRule="exact"/>
        <w:rPr>
          <w:sz w:val="20"/>
          <w:szCs w:val="20"/>
          <w:color w:val="auto"/>
        </w:rPr>
      </w:pPr>
    </w:p>
    <w:p>
      <w:pPr>
        <w:ind w:left="660" w:right="9180" w:hanging="652"/>
        <w:spacing w:after="0" w:line="601" w:lineRule="auto"/>
        <w:tabs>
          <w:tab w:leader="none" w:pos="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ind w:left="660" w:right="9160" w:hanging="652"/>
        <w:spacing w:after="0" w:line="629"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53"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6" w:name="page107"/>
    <w:bookmarkEnd w:id="106"/>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jc w:val="both"/>
        <w:ind w:left="660" w:right="9660" w:hanging="652"/>
        <w:spacing w:after="0" w:line="563" w:lineRule="auto"/>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our Annual Report on Form 20-F dated June 27, 2003 is incorporated herein by reference.</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our Annual General Shareholders’ Meeting held on March 31, 2005, we adopted an amendment to our bye-laws that increased the number of our directors from six to eight. In addition, we also removed provisions that established a classified board structure with staggered terms, adopting instead fixed three-year terms to be served until the end of the Annual General Shareholders’ Meeting for the year in which the three-year period expires.</w:t>
      </w:r>
    </w:p>
    <w:p>
      <w:pPr>
        <w:spacing w:after="0" w:line="143"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the date hereof, we have not, nor have our subsidiaries, entered into any material contracts.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been designated as a non-resident for Bermuda exchange control purposes, and therefore, there are no restrictions on our ability to transfer non-Bermuda funds in and out of Bermuda or to pay dividends to United States residents who are holders of our common shares.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almost exclusively on dividends from Grupo Credito, BCP, ASHC, PPS, and our other subsidiaries for the payment of dividends to holders of our common shares. To the extent our subsidiaries are restricted by law from paying us dividends, our ability to pay dividends on our common shares will be adversely affected.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present our financial statements and pay dividends in U.S. Dollars. BCP and PPS prepare their financial statements and pay dividends in Nuevos Soles. If the value of the Nuevo Sol were to fall relative to the U.S. Dollar between the date of declaration and the date of payment of dividends, the value of the dividends we receive from our subsidiaries would be adversely affected. On an overall basis, the Peruvian currency has appreciated against the US. Dollar during the last decade.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2010, approximately 61.1% of BCP’s loan portfolio, 100% of ASHC’s loan portfolio, and 84.3% of PPS’s premiums were denominated in U.S. Dollars. Most of the borrowers or insureds of these three companies use Nuevo Soles. Therefore, a devaluation of the Nuevo Sol would effectively increase the cost to the borrower of repaying its loans and the cost to the insured of making its premium payments. As a result, devaluation could lead to more nonperforming loans or unpaid premiums for BCP, ASHC and PPS.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One circumstance that could lead to a devaluation is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currency-denominated obligations or that Peru will not devalue its currency should its foreign reserves decline.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Overview—(9) Peruvian Government and Economy.”</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March 1991, there have been no exchange rate controls in Peru and all foreign exchange transactions are based on free market exchange rates. Current Peruvian regulations on foreign investment allow the foreign holders of equity shares of Peruvian companies to receive and repatriate 100% of the cash dividends distributed by the company. These investors are allowed to purchase foreign exchange at free market exchange rates through any member of the Peruvian banking system.</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7" w:name="page108"/>
    <w:bookmarkEnd w:id="107"/>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that we must pay or our shareholders must pay with respect to their shares. We have obtained an assurance from the Minister of Finance of Bermuda under the Exempted Undertakings Tax Protection Act 1966 that, in the event that any legislation is enacted in Bermuda imposing any tax on profits or income, or on any capital asset, gain, or appreciation or any tax in the nature of an estate duty or inheritance tax, such tax shall not, until March 28, 2016, be applicable to us or to any of our operations or to our shares, debentures, or other obligations. This assurance, however, does not cover any tax applicable to persons ordinarily resident in Bermuda or to any taxes that we must pay with respect to real property that we own or lease in Bermuda.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exempted company, we are liable to pay in Bermuda an annual government fee based upon our authorized share capital and the premium on our issued common shares, which amounted to approximately US$18,670 in 2010.</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February 15, 2011, the Peruvian government enacted Law 29663, which partially modifies the country’s income tax regime by subjecting to taxation in Peru capital gains derived from an indirect transfer of shares and expanding the type of income that will qualify as Peruvian-source income. Under the new law, any transfer of shares of a company not domiciled in Peru will be subject to Peruvian income tax if, at any point during the 12 months prior to the transfer, the market value of the shares of a Peruvian domiciled company that is directly or indirectly owned by the non-Peruvian domiciled company represents 50% or more of the market value of the shares representing the equity capital of the non-Peruvian domiciled company. This change became effective on February 16, 2011.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same time, two new obligations were imposed on Peruvian domiciled companies:</w:t>
      </w:r>
    </w:p>
    <w:p>
      <w:pPr>
        <w:spacing w:after="0" w:line="225" w:lineRule="exact"/>
        <w:rPr>
          <w:sz w:val="20"/>
          <w:szCs w:val="20"/>
          <w:color w:val="auto"/>
        </w:rPr>
      </w:pPr>
    </w:p>
    <w:p>
      <w:pPr>
        <w:ind w:left="660" w:right="12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Peruvian domiciled company is now required to report to the Peruvian Tax Administration (SUNAT) transfers of its own shares or transfers of the shares of the non-Peruvian domiciled company that is the owner of its shares, and</w:t>
      </w:r>
    </w:p>
    <w:p>
      <w:pPr>
        <w:spacing w:after="0" w:line="19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Peruvian domiciled company is now responsible for the income tax not paid by a non-Peruvian domiciled transferor that is directly or indirectly linked to the domiciled company (whether by means of control, management or equity participation) in connection with the transfer of the domiciled company’s shares.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effectiveness of the obligations mentioned in (i) and (ii) above is subject to additional enactments by the Peruvian government. Until definitive regulations are enacted by the Peruvian government, which may clarify any obligation by Credicorp to withhold income tax for non-Peruvian domiciled transferors, we do not know what impact, if any, this new law will have on our company, subsidiaries or shareholders.</w:t>
      </w:r>
    </w:p>
    <w:p>
      <w:pPr>
        <w:spacing w:after="0" w:line="177" w:lineRule="exact"/>
        <w:rPr>
          <w:sz w:val="20"/>
          <w:szCs w:val="20"/>
          <w:color w:val="auto"/>
        </w:rPr>
      </w:pPr>
    </w:p>
    <w:p>
      <w:pPr>
        <w:ind w:left="660" w:right="8500" w:hanging="652"/>
        <w:spacing w:after="0" w:line="501"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60" w:right="9100" w:hanging="652"/>
        <w:spacing w:after="0" w:line="563"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Documents on Display</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documents referred to in this Annual Report are available for inspection at our registered office.</w:t>
      </w:r>
    </w:p>
    <w:p>
      <w:pPr>
        <w:spacing w:after="0" w:line="221" w:lineRule="exact"/>
        <w:rPr>
          <w:rFonts w:ascii="Arial" w:cs="Arial" w:eastAsia="Arial" w:hAnsi="Arial"/>
          <w:sz w:val="18"/>
          <w:szCs w:val="18"/>
          <w:color w:val="auto"/>
        </w:rPr>
      </w:pPr>
    </w:p>
    <w:p>
      <w:pPr>
        <w:ind w:left="660" w:right="8940" w:hanging="652"/>
        <w:spacing w:after="0" w:line="563"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involve principally the use of financial instruments, including derivatives. We accept deposits from customers at both fixed and floating rates, for various periods, and seek to earn above-average interest margins by investing these funds in high-quality assets. We seek to increase these margins by consolidating short-term funds and lending for longer periods at higher rates, while maintaining sufficient liquidity to meet all claims that might fall due.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seek to raise its interest margins by obtaining above-average market margins, net of allowances, through lending to commercial and retail borrowers with a range of credit products. Such exposures involve not just on-balance sheet loans and advances; we also enter into guarantees and other commitments such as letters of credit and performance.</w:t>
      </w:r>
    </w:p>
    <w:p>
      <w:pPr>
        <w:spacing w:after="0" w:line="357"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8" w:name="page109"/>
    <w:bookmarkEnd w:id="108"/>
    <w:p>
      <w:pPr>
        <w:jc w:val="both"/>
        <w:ind w:firstLine="648"/>
        <w:spacing w:after="0" w:line="277" w:lineRule="auto"/>
        <w:rPr>
          <w:sz w:val="20"/>
          <w:szCs w:val="20"/>
          <w:color w:val="auto"/>
        </w:rPr>
      </w:pPr>
      <w:r>
        <w:rPr>
          <w:rFonts w:ascii="Arial" w:cs="Arial" w:eastAsia="Arial" w:hAnsi="Arial"/>
          <w:sz w:val="18"/>
          <w:szCs w:val="18"/>
          <w:color w:val="auto"/>
        </w:rPr>
        <w:t>We also trade in financial instruments where we take positions in traded and over-the-counter instruments, including derivatives, to take advantage of short-term market movements in equities, bonds, currencies and interest rates.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this sense, risk is inherent in our activities but it is managed through a process of ongoing identification, measurement and monitoring, subject to risk limits and other controls. This process of risk management is critical to our continuing profitability and each individual within our Group is accountable for the risk exposures relating to his or her responsibilities. We are exposed to operating risk, credit risk, liquidity risk and market risk, the latter being subdivided into trading and non-trading risks.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our strategic planning process.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Management Structure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and the boards of each subsidiary are ultimately responsible for identifying and controlling risks; however, there are separate independent bodies in the major subsidiaries (BCP, PPS, ASB, Edyficar and Prima AFP) responsible for managing and monitoring risks, as further explained bellow:</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The board of directors of each major subsidiary is responsible for the overall risk management approach and for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policies and strategies currently in place. The Board provides written principles for overall risk management, as well as written policies covering specific areas, such as foreign exchange risk, interest rate risk, credit risk, risk related to the use of derivative financial instruments and non-derivative financial instruments.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Risk Management Committee: </w:t>
      </w:r>
      <w:r>
        <w:rPr>
          <w:rFonts w:ascii="Arial" w:cs="Arial" w:eastAsia="Arial" w:hAnsi="Arial"/>
          <w:sz w:val="18"/>
          <w:szCs w:val="18"/>
          <w:color w:val="auto"/>
        </w:rPr>
        <w:t>The Risk Management Committee of each major subsidiary is responsible for the strategy used for mitigating risks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setting forth the overall principles, policies and limits for the different types of risks; it is also responsible for monitoring fundamental risk issues and for managing and monitoring the relevant risk decisions.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Risk Management Department: </w:t>
      </w:r>
      <w:r>
        <w:rPr>
          <w:rFonts w:ascii="Arial" w:cs="Arial" w:eastAsia="Arial" w:hAnsi="Arial"/>
          <w:sz w:val="18"/>
          <w:szCs w:val="18"/>
          <w:color w:val="auto"/>
        </w:rPr>
        <w:t>The Risk Management Department of each major subsidiary is responsible for developing, implementing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improving, on a continuous basis, the Group’s risk management infrastructure by adopting and incorporating global best practices and following established policies.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Internal Audit: </w:t>
      </w:r>
      <w:r>
        <w:rPr>
          <w:rFonts w:ascii="Arial" w:cs="Arial" w:eastAsia="Arial" w:hAnsi="Arial"/>
          <w:sz w:val="18"/>
          <w:szCs w:val="18"/>
          <w:color w:val="auto"/>
        </w:rPr>
        <w:t>Risk management processes throughout the Group are monitored by the internal audit function, which examines both the adequacy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procedures and our compliance with them. The internal audit division discusses the results of all assessments with management, and reports its findings and recommendations to Credicorp’s Audit Committee and Board of Directors.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Treasury and Foreign Exchange Departments: </w:t>
      </w:r>
      <w:r>
        <w:rPr>
          <w:rFonts w:ascii="Arial" w:cs="Arial" w:eastAsia="Arial" w:hAnsi="Arial"/>
          <w:sz w:val="18"/>
          <w:szCs w:val="18"/>
          <w:color w:val="auto"/>
        </w:rPr>
        <w:t>Our Treasury Department is responsible for managing the Group’s assets and liabilities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financial structure. It is also primarily responsible for managing funding and liquidity risks; in addition to managing investment, forward and spot portfolios. The Treasury Department also monitors the related liquidity, interest rate and exchange rate risks.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Measurement and Reporting Systems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risks are measured using a method which reflects both expected losses, which are those losses likely to arise in normal circumstances, and unexpected losses, which are estimated based on statistical models. The models make use of probabilities derived from historical experience, adjusted to reflect the economic environment. We also examine worst case scenarios that might arise if extreme and unlikely events do, in fact, occur.</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that we establish. These limits reflect our business strategy, the market environment and the level of risk that we are willing to accept. In addition, we monitor and measure our overall risk bearing capacity relative to our aggregate risk exposure across all risk types and activities.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compiled from all our subsidiaries is examined and processed in order to analyze, control and identify risks early.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periodically assesses the fair value of the investments and the appropriateness of the allowance for credit losses.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Mitigation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part of our overall risk management, we use derivatives and other instruments to manage exposures resulting from changes in interest rates, foreign currencies, equity risk and credit risk.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monthly. In situations of ineffectiveness, we will enter into a new hedge relationship to mitigate risk on a continuous basis.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We actively use collateral to reduce credit risks.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Excessive Risk Concentration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separate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we act as principal with clients or with the market. Non-trading portfolios consist of relatively illiquid positions, mainly banking assets and liabilities (deposits and loans) and non-trading investments (available-for-sale).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and Liability Management (ALM).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Book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w:t>
      </w:r>
    </w:p>
    <w:p>
      <w:pPr>
        <w:spacing w:after="0" w:line="20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apply VaR to our trading portfolios to estimate the market risk of positions held and the maximum losses that are expected, based upon a number of assumptions for various changes in market conditions. The Risk Management Committee set limits on the level of risk that may be accepted.</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 The time horizon used to calculate VaR is one day; however, the one-day VAR is amplified to a 10-day time frame and calculated by multiplying the one-day VaR by the square root of 10. The assessment of past movements has been based on historical one-year data. The Group applies these historical changes in rates directly to its current positions (a method known as historical simulation).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adjustment will be exact only if the changes in the Portfolio in the following days have a normal distribution identical and independent; otherwise, the VAR to 10 days will be an approximation.</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8920" w:type="dxa"/>
            <w:vAlign w:val="bottom"/>
          </w:tcPr>
          <w:p>
            <w:pPr>
              <w:ind w:left="660"/>
              <w:spacing w:after="0"/>
              <w:rPr>
                <w:sz w:val="20"/>
                <w:szCs w:val="20"/>
                <w:color w:val="auto"/>
              </w:rPr>
            </w:pPr>
            <w:r>
              <w:rPr>
                <w:rFonts w:ascii="Arial" w:cs="Arial" w:eastAsia="Arial" w:hAnsi="Arial"/>
                <w:sz w:val="18"/>
                <w:szCs w:val="18"/>
                <w:color w:val="auto"/>
              </w:rPr>
              <w:t>As of December 31, 2010 and 2009, our VaR by type of asset was as follows:</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4"/>
                <w:szCs w:val="24"/>
                <w:color w:val="auto"/>
              </w:rPr>
            </w:pPr>
          </w:p>
        </w:tc>
      </w:tr>
      <w:tr>
        <w:trPr>
          <w:trHeight w:val="216"/>
        </w:trPr>
        <w:tc>
          <w:tcPr>
            <w:tcW w:w="8920" w:type="dxa"/>
            <w:vAlign w:val="bottom"/>
          </w:tcPr>
          <w:p>
            <w:pPr>
              <w:spacing w:after="0"/>
              <w:rPr>
                <w:sz w:val="18"/>
                <w:szCs w:val="18"/>
                <w:color w:val="auto"/>
              </w:rPr>
            </w:pPr>
          </w:p>
        </w:tc>
        <w:tc>
          <w:tcPr>
            <w:tcW w:w="1040" w:type="dxa"/>
            <w:vAlign w:val="bottom"/>
            <w:tcBorders>
              <w:top w:val="single" w:sz="8" w:color="auto"/>
            </w:tcBorders>
          </w:tcPr>
          <w:p>
            <w:pPr>
              <w:ind w:left="180"/>
              <w:spacing w:after="0"/>
              <w:rPr>
                <w:sz w:val="20"/>
                <w:szCs w:val="20"/>
                <w:color w:val="auto"/>
              </w:rPr>
            </w:pPr>
            <w:r>
              <w:rPr>
                <w:rFonts w:ascii="Arial" w:cs="Arial" w:eastAsia="Arial" w:hAnsi="Arial"/>
                <w:sz w:val="18"/>
                <w:szCs w:val="18"/>
                <w:i w:val="1"/>
                <w:iCs w:val="1"/>
                <w:color w:val="auto"/>
              </w:rPr>
              <w:t>US$(000)</w:t>
            </w:r>
          </w:p>
        </w:tc>
        <w:tc>
          <w:tcPr>
            <w:tcW w:w="320" w:type="dxa"/>
            <w:vAlign w:val="bottom"/>
          </w:tcPr>
          <w:p>
            <w:pPr>
              <w:spacing w:after="0"/>
              <w:rPr>
                <w:sz w:val="18"/>
                <w:szCs w:val="18"/>
                <w:color w:val="auto"/>
              </w:rPr>
            </w:pPr>
          </w:p>
        </w:tc>
        <w:tc>
          <w:tcPr>
            <w:tcW w:w="1040" w:type="dxa"/>
            <w:vAlign w:val="bottom"/>
            <w:tcBorders>
              <w:top w:val="single" w:sz="8" w:color="auto"/>
            </w:tcBorders>
          </w:tcPr>
          <w:p>
            <w:pPr>
              <w:ind w:left="16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r>
      <w:tr>
        <w:trPr>
          <w:trHeight w:val="216"/>
        </w:trPr>
        <w:tc>
          <w:tcPr>
            <w:tcW w:w="89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126</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FFCC"/>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Fixed income</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2,494</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1,142</w:t>
            </w:r>
          </w:p>
        </w:tc>
        <w:tc>
          <w:tcPr>
            <w:tcW w:w="100" w:type="dxa"/>
            <w:vAlign w:val="bottom"/>
          </w:tcPr>
          <w:p>
            <w:pPr>
              <w:spacing w:after="0"/>
              <w:rPr>
                <w:sz w:val="18"/>
                <w:szCs w:val="18"/>
                <w:color w:val="auto"/>
              </w:rPr>
            </w:pPr>
          </w:p>
        </w:tc>
      </w:tr>
      <w:tr>
        <w:trPr>
          <w:trHeight w:val="216"/>
        </w:trPr>
        <w:tc>
          <w:tcPr>
            <w:tcW w:w="892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1,109</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3"/>
              </w:rPr>
              <w:t>580</w:t>
            </w:r>
          </w:p>
        </w:tc>
        <w:tc>
          <w:tcPr>
            <w:tcW w:w="100" w:type="dxa"/>
            <w:vAlign w:val="bottom"/>
            <w:shd w:val="clear" w:color="auto" w:fill="CCFFCC"/>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Forwards</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2,938</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1,961</w:t>
            </w:r>
          </w:p>
        </w:tc>
        <w:tc>
          <w:tcPr>
            <w:tcW w:w="100" w:type="dxa"/>
            <w:vAlign w:val="bottom"/>
          </w:tcPr>
          <w:p>
            <w:pPr>
              <w:spacing w:after="0"/>
              <w:rPr>
                <w:sz w:val="18"/>
                <w:szCs w:val="18"/>
                <w:color w:val="auto"/>
              </w:rPr>
            </w:pPr>
          </w:p>
        </w:tc>
      </w:tr>
      <w:tr>
        <w:trPr>
          <w:trHeight w:val="216"/>
        </w:trPr>
        <w:tc>
          <w:tcPr>
            <w:tcW w:w="892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4,397</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8"/>
              </w:rPr>
              <w:t>2,269</w:t>
            </w:r>
          </w:p>
        </w:tc>
        <w:tc>
          <w:tcPr>
            <w:tcW w:w="100" w:type="dxa"/>
            <w:vAlign w:val="bottom"/>
            <w:shd w:val="clear" w:color="auto" w:fill="CCFFCC"/>
          </w:tcPr>
          <w:p>
            <w:pPr>
              <w:spacing w:after="0"/>
              <w:rPr>
                <w:sz w:val="18"/>
                <w:szCs w:val="18"/>
                <w:color w:val="auto"/>
              </w:rPr>
            </w:pPr>
          </w:p>
        </w:tc>
      </w:tr>
      <w:tr>
        <w:trPr>
          <w:trHeight w:val="459"/>
        </w:trPr>
        <w:tc>
          <w:tcPr>
            <w:tcW w:w="8920" w:type="dxa"/>
            <w:vAlign w:val="bottom"/>
          </w:tcPr>
          <w:p>
            <w:pPr>
              <w:ind w:left="660"/>
              <w:spacing w:after="0"/>
              <w:rPr>
                <w:sz w:val="20"/>
                <w:szCs w:val="20"/>
                <w:color w:val="auto"/>
              </w:rPr>
            </w:pPr>
            <w:r>
              <w:rPr>
                <w:rFonts w:ascii="Arial" w:cs="Arial" w:eastAsia="Arial" w:hAnsi="Arial"/>
                <w:sz w:val="18"/>
                <w:szCs w:val="18"/>
                <w:color w:val="auto"/>
              </w:rPr>
              <w:t>As of December 31, 2010 and 2009, our VaR by risk type is as follows: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4"/>
                <w:szCs w:val="24"/>
                <w:color w:val="auto"/>
              </w:rPr>
            </w:pPr>
          </w:p>
        </w:tc>
      </w:tr>
      <w:tr>
        <w:trPr>
          <w:trHeight w:val="216"/>
        </w:trPr>
        <w:tc>
          <w:tcPr>
            <w:tcW w:w="8920" w:type="dxa"/>
            <w:vAlign w:val="bottom"/>
          </w:tcPr>
          <w:p>
            <w:pPr>
              <w:spacing w:after="0"/>
              <w:rPr>
                <w:sz w:val="18"/>
                <w:szCs w:val="18"/>
                <w:color w:val="auto"/>
              </w:rPr>
            </w:pPr>
          </w:p>
        </w:tc>
        <w:tc>
          <w:tcPr>
            <w:tcW w:w="1040" w:type="dxa"/>
            <w:vAlign w:val="bottom"/>
            <w:tcBorders>
              <w:top w:val="single" w:sz="8" w:color="auto"/>
            </w:tcBorders>
          </w:tcPr>
          <w:p>
            <w:pPr>
              <w:ind w:left="180"/>
              <w:spacing w:after="0"/>
              <w:rPr>
                <w:sz w:val="20"/>
                <w:szCs w:val="20"/>
                <w:color w:val="auto"/>
              </w:rPr>
            </w:pPr>
            <w:r>
              <w:rPr>
                <w:rFonts w:ascii="Arial" w:cs="Arial" w:eastAsia="Arial" w:hAnsi="Arial"/>
                <w:sz w:val="18"/>
                <w:szCs w:val="18"/>
                <w:i w:val="1"/>
                <w:iCs w:val="1"/>
                <w:color w:val="auto"/>
              </w:rPr>
              <w:t>US$(000)</w:t>
            </w:r>
          </w:p>
        </w:tc>
        <w:tc>
          <w:tcPr>
            <w:tcW w:w="320" w:type="dxa"/>
            <w:vAlign w:val="bottom"/>
          </w:tcPr>
          <w:p>
            <w:pPr>
              <w:spacing w:after="0"/>
              <w:rPr>
                <w:sz w:val="18"/>
                <w:szCs w:val="18"/>
                <w:color w:val="auto"/>
              </w:rPr>
            </w:pPr>
          </w:p>
        </w:tc>
        <w:tc>
          <w:tcPr>
            <w:tcW w:w="1040" w:type="dxa"/>
            <w:vAlign w:val="bottom"/>
            <w:tcBorders>
              <w:top w:val="single" w:sz="8" w:color="auto"/>
            </w:tcBorders>
          </w:tcPr>
          <w:p>
            <w:pPr>
              <w:ind w:left="16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r>
      <w:tr>
        <w:trPr>
          <w:trHeight w:val="216"/>
        </w:trPr>
        <w:tc>
          <w:tcPr>
            <w:tcW w:w="892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1,767</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3"/>
              </w:rPr>
              <w:t>985</w:t>
            </w:r>
          </w:p>
        </w:tc>
        <w:tc>
          <w:tcPr>
            <w:tcW w:w="100" w:type="dxa"/>
            <w:vAlign w:val="bottom"/>
            <w:shd w:val="clear" w:color="auto" w:fill="CCFFCC"/>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Interest rate risk</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3,593</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1,802</w:t>
            </w:r>
          </w:p>
        </w:tc>
        <w:tc>
          <w:tcPr>
            <w:tcW w:w="100" w:type="dxa"/>
            <w:vAlign w:val="bottom"/>
          </w:tcPr>
          <w:p>
            <w:pPr>
              <w:spacing w:after="0"/>
              <w:rPr>
                <w:sz w:val="18"/>
                <w:szCs w:val="18"/>
                <w:color w:val="auto"/>
              </w:rPr>
            </w:pPr>
          </w:p>
        </w:tc>
      </w:tr>
      <w:tr>
        <w:trPr>
          <w:trHeight w:val="216"/>
        </w:trPr>
        <w:tc>
          <w:tcPr>
            <w:tcW w:w="892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126</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FFCC"/>
          </w:tcPr>
          <w:p>
            <w:pPr>
              <w:spacing w:after="0"/>
              <w:rPr>
                <w:sz w:val="18"/>
                <w:szCs w:val="18"/>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4,397</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2,269</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ALM Book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risks associated with long-term and structural positions is called Asset and Liability Management (ALM). Non-trading portfolios which comprise the ALM Book are exposed to different sensitivities that can bring about a deterioration in the value of the Group’s assets relative to its liabilities and hence can reduce the Group’s net worth.</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is exposed to both fair value interest rate risk and cash flow interest rate risk.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Re-pricing Gap</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Gap analysis consists of aggregating re-pricing timeframes into buckets and checking if each bucket nets to zero. Different bucketing schemes may be used. An interest rate gap is simply a positive or negative net re-pricing timeframe for one of the buckets.</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1" w:name="page112"/>
    <w:bookmarkEnd w:id="111"/>
    <w:p>
      <w:pPr>
        <w:ind w:firstLine="648"/>
        <w:spacing w:after="0" w:line="277" w:lineRule="auto"/>
        <w:rPr>
          <w:sz w:val="20"/>
          <w:szCs w:val="20"/>
          <w:color w:val="auto"/>
        </w:rPr>
      </w:pPr>
      <w:r>
        <w:rPr>
          <w:rFonts w:ascii="Arial" w:cs="Arial" w:eastAsia="Arial" w:hAnsi="Arial"/>
          <w:sz w:val="18"/>
          <w:szCs w:val="18"/>
          <w:color w:val="auto"/>
        </w:rPr>
        <w:t>The table below summarizes our exposure to interest rate risks. It includes our financial instruments at carrying amounts, categorized by the earlier of contractual re-pricing or maturity dates: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2010</w:t>
            </w: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340" w:type="dxa"/>
            <w:vAlign w:val="bottom"/>
          </w:tcPr>
          <w:p>
            <w:pPr>
              <w:jc w:val="center"/>
              <w:ind w:right="108"/>
              <w:spacing w:after="0" w:line="126" w:lineRule="exact"/>
              <w:rPr>
                <w:sz w:val="20"/>
                <w:szCs w:val="20"/>
                <w:color w:val="auto"/>
              </w:rPr>
            </w:pPr>
            <w:r>
              <w:rPr>
                <w:rFonts w:ascii="Arial" w:cs="Arial" w:eastAsia="Arial" w:hAnsi="Arial"/>
                <w:sz w:val="14"/>
                <w:szCs w:val="14"/>
                <w:b w:val="1"/>
                <w:bCs w:val="1"/>
                <w:color w:val="auto"/>
                <w:w w:val="92"/>
              </w:rPr>
              <w:t>Up to 1</w:t>
            </w:r>
          </w:p>
        </w:tc>
        <w:tc>
          <w:tcPr>
            <w:tcW w:w="116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87"/>
              </w:rPr>
              <w:t>1 to 3</w:t>
            </w:r>
          </w:p>
        </w:tc>
        <w:tc>
          <w:tcPr>
            <w:tcW w:w="122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4"/>
              </w:rPr>
              <w:t>3 to 12</w:t>
            </w: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1 to 5 years</w:t>
            </w:r>
          </w:p>
        </w:tc>
        <w:tc>
          <w:tcPr>
            <w:tcW w:w="1100" w:type="dxa"/>
            <w:vAlign w:val="bottom"/>
          </w:tcPr>
          <w:p>
            <w:pPr>
              <w:jc w:val="center"/>
              <w:ind w:right="128"/>
              <w:spacing w:after="0" w:line="126" w:lineRule="exact"/>
              <w:rPr>
                <w:sz w:val="20"/>
                <w:szCs w:val="20"/>
                <w:color w:val="auto"/>
              </w:rPr>
            </w:pPr>
            <w:r>
              <w:rPr>
                <w:rFonts w:ascii="Arial" w:cs="Arial" w:eastAsia="Arial" w:hAnsi="Arial"/>
                <w:sz w:val="14"/>
                <w:szCs w:val="14"/>
                <w:b w:val="1"/>
                <w:bCs w:val="1"/>
                <w:color w:val="auto"/>
                <w:w w:val="94"/>
              </w:rPr>
              <w:t>More than 5</w:t>
            </w:r>
          </w:p>
        </w:tc>
        <w:tc>
          <w:tcPr>
            <w:tcW w:w="120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3220" w:type="dxa"/>
            <w:vAlign w:val="bottom"/>
          </w:tcPr>
          <w:p>
            <w:pPr>
              <w:spacing w:after="0"/>
              <w:rPr>
                <w:sz w:val="13"/>
                <w:szCs w:val="13"/>
                <w:color w:val="auto"/>
              </w:rPr>
            </w:pPr>
          </w:p>
        </w:tc>
        <w:tc>
          <w:tcPr>
            <w:tcW w:w="134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3"/>
              </w:rPr>
              <w:t>month</w:t>
            </w:r>
          </w:p>
        </w:tc>
        <w:tc>
          <w:tcPr>
            <w:tcW w:w="116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86"/>
              </w:rPr>
              <w:t>months</w:t>
            </w:r>
          </w:p>
        </w:tc>
        <w:tc>
          <w:tcPr>
            <w:tcW w:w="122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0"/>
              </w:rPr>
              <w:t>months</w:t>
            </w:r>
          </w:p>
        </w:tc>
        <w:tc>
          <w:tcPr>
            <w:tcW w:w="1140" w:type="dxa"/>
            <w:vAlign w:val="bottom"/>
            <w:vMerge w:val="continue"/>
          </w:tcPr>
          <w:p>
            <w:pPr>
              <w:spacing w:after="0"/>
              <w:rPr>
                <w:sz w:val="13"/>
                <w:szCs w:val="13"/>
                <w:color w:val="auto"/>
              </w:rPr>
            </w:pPr>
          </w:p>
        </w:tc>
        <w:tc>
          <w:tcPr>
            <w:tcW w:w="11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2"/>
              </w:rPr>
              <w:t>years</w:t>
            </w:r>
          </w:p>
        </w:tc>
        <w:tc>
          <w:tcPr>
            <w:tcW w:w="120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4"/>
              </w:rPr>
              <w:t>bearing</w:t>
            </w: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340" w:type="dxa"/>
            <w:vAlign w:val="bottom"/>
          </w:tcPr>
          <w:p>
            <w:pPr>
              <w:jc w:val="center"/>
              <w:ind w:right="108"/>
              <w:spacing w:after="0"/>
              <w:rPr>
                <w:sz w:val="20"/>
                <w:szCs w:val="20"/>
                <w:color w:val="auto"/>
              </w:rPr>
            </w:pPr>
            <w:r>
              <w:rPr>
                <w:rFonts w:ascii="Arial" w:cs="Arial" w:eastAsia="Arial" w:hAnsi="Arial"/>
                <w:sz w:val="14"/>
                <w:szCs w:val="14"/>
                <w:i w:val="1"/>
                <w:iCs w:val="1"/>
                <w:color w:val="auto"/>
                <w:w w:val="93"/>
              </w:rPr>
              <w:t>US$(000)</w:t>
            </w:r>
          </w:p>
        </w:tc>
        <w:tc>
          <w:tcPr>
            <w:tcW w:w="1160" w:type="dxa"/>
            <w:vAlign w:val="bottom"/>
          </w:tcPr>
          <w:p>
            <w:pPr>
              <w:jc w:val="center"/>
              <w:ind w:right="168"/>
              <w:spacing w:after="0"/>
              <w:rPr>
                <w:sz w:val="20"/>
                <w:szCs w:val="20"/>
                <w:color w:val="auto"/>
              </w:rPr>
            </w:pPr>
            <w:r>
              <w:rPr>
                <w:rFonts w:ascii="Arial" w:cs="Arial" w:eastAsia="Arial" w:hAnsi="Arial"/>
                <w:sz w:val="14"/>
                <w:szCs w:val="14"/>
                <w:i w:val="1"/>
                <w:iCs w:val="1"/>
                <w:color w:val="auto"/>
                <w:w w:val="93"/>
              </w:rPr>
              <w:t>US$(000)</w:t>
            </w:r>
          </w:p>
        </w:tc>
        <w:tc>
          <w:tcPr>
            <w:tcW w:w="1220" w:type="dxa"/>
            <w:vAlign w:val="bottom"/>
          </w:tcPr>
          <w:p>
            <w:pPr>
              <w:jc w:val="center"/>
              <w:ind w:right="188"/>
              <w:spacing w:after="0"/>
              <w:rPr>
                <w:sz w:val="20"/>
                <w:szCs w:val="20"/>
                <w:color w:val="auto"/>
              </w:rPr>
            </w:pPr>
            <w:r>
              <w:rPr>
                <w:rFonts w:ascii="Arial" w:cs="Arial" w:eastAsia="Arial" w:hAnsi="Arial"/>
                <w:sz w:val="14"/>
                <w:szCs w:val="14"/>
                <w:i w:val="1"/>
                <w:iCs w:val="1"/>
                <w:color w:val="auto"/>
                <w:w w:val="93"/>
              </w:rPr>
              <w:t>US$(000)</w:t>
            </w:r>
          </w:p>
        </w:tc>
        <w:tc>
          <w:tcPr>
            <w:tcW w:w="1140" w:type="dxa"/>
            <w:vAlign w:val="bottom"/>
          </w:tcPr>
          <w:p>
            <w:pPr>
              <w:jc w:val="right"/>
              <w:ind w:right="328"/>
              <w:spacing w:after="0"/>
              <w:rPr>
                <w:sz w:val="20"/>
                <w:szCs w:val="20"/>
                <w:color w:val="auto"/>
              </w:rPr>
            </w:pPr>
            <w:r>
              <w:rPr>
                <w:rFonts w:ascii="Arial" w:cs="Arial" w:eastAsia="Arial" w:hAnsi="Arial"/>
                <w:sz w:val="14"/>
                <w:szCs w:val="14"/>
                <w:i w:val="1"/>
                <w:iCs w:val="1"/>
                <w:color w:val="auto"/>
              </w:rPr>
              <w:t>US$(000)</w:t>
            </w:r>
          </w:p>
        </w:tc>
        <w:tc>
          <w:tcPr>
            <w:tcW w:w="1100" w:type="dxa"/>
            <w:vAlign w:val="bottom"/>
          </w:tcPr>
          <w:p>
            <w:pPr>
              <w:jc w:val="center"/>
              <w:ind w:right="128"/>
              <w:spacing w:after="0"/>
              <w:rPr>
                <w:sz w:val="20"/>
                <w:szCs w:val="20"/>
                <w:color w:val="auto"/>
              </w:rPr>
            </w:pPr>
            <w:r>
              <w:rPr>
                <w:rFonts w:ascii="Arial" w:cs="Arial" w:eastAsia="Arial" w:hAnsi="Arial"/>
                <w:sz w:val="14"/>
                <w:szCs w:val="14"/>
                <w:i w:val="1"/>
                <w:iCs w:val="1"/>
                <w:color w:val="auto"/>
                <w:w w:val="90"/>
              </w:rPr>
              <w:t>US$(000)</w:t>
            </w:r>
          </w:p>
        </w:tc>
        <w:tc>
          <w:tcPr>
            <w:tcW w:w="1200" w:type="dxa"/>
            <w:vAlign w:val="bottom"/>
          </w:tcPr>
          <w:p>
            <w:pPr>
              <w:jc w:val="center"/>
              <w:ind w:right="168"/>
              <w:spacing w:after="0"/>
              <w:rPr>
                <w:sz w:val="20"/>
                <w:szCs w:val="20"/>
                <w:color w:val="auto"/>
              </w:rPr>
            </w:pPr>
            <w:r>
              <w:rPr>
                <w:rFonts w:ascii="Arial" w:cs="Arial" w:eastAsia="Arial" w:hAnsi="Arial"/>
                <w:sz w:val="14"/>
                <w:szCs w:val="14"/>
                <w:i w:val="1"/>
                <w:iCs w:val="1"/>
                <w:color w:val="auto"/>
                <w:w w:val="93"/>
              </w:rPr>
              <w:t>US$(000)</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3"/>
              </w:rPr>
              <w:t>US$(000)</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34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5,606,278</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1,325,201</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26,999</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1,624,377</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8,582,855</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535,658</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274,790</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256,872</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860,605</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1,088,441</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867,450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3,883,816</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1,903,439</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3,931,178</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2,594,608</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3,753,193</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1,777,237</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13,959,655</w:t>
            </w:r>
          </w:p>
        </w:tc>
        <w:tc>
          <w:tcPr>
            <w:tcW w:w="0" w:type="dxa"/>
            <w:vAlign w:val="bottom"/>
          </w:tcPr>
          <w:p>
            <w:pPr>
              <w:spacing w:after="0"/>
              <w:rPr>
                <w:sz w:val="1"/>
                <w:szCs w:val="1"/>
                <w:color w:val="auto"/>
              </w:rPr>
            </w:pPr>
          </w:p>
        </w:tc>
      </w:tr>
      <w:tr>
        <w:trPr>
          <w:trHeight w:val="130"/>
        </w:trPr>
        <w:tc>
          <w:tcPr>
            <w:tcW w:w="3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 through profit and</w:t>
            </w:r>
          </w:p>
        </w:tc>
        <w:tc>
          <w:tcPr>
            <w:tcW w:w="134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FFCC"/>
          </w:tcPr>
          <w:p>
            <w:pPr>
              <w:spacing w:after="0"/>
              <w:rPr>
                <w:sz w:val="20"/>
                <w:szCs w:val="20"/>
                <w:color w:val="auto"/>
              </w:rPr>
            </w:pPr>
            <w:r>
              <w:rPr>
                <w:rFonts w:ascii="Arial" w:cs="Arial" w:eastAsia="Arial" w:hAnsi="Arial"/>
                <w:sz w:val="14"/>
                <w:szCs w:val="14"/>
                <w:color w:val="auto"/>
              </w:rPr>
              <w:t>loss</w:t>
            </w:r>
          </w:p>
        </w:tc>
        <w:tc>
          <w:tcPr>
            <w:tcW w:w="13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40</w:t>
            </w:r>
          </w:p>
        </w:tc>
        <w:tc>
          <w:tcPr>
            <w:tcW w:w="12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1,443</w:t>
            </w:r>
          </w:p>
        </w:tc>
        <w:tc>
          <w:tcPr>
            <w:tcW w:w="11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2,999</w:t>
            </w:r>
          </w:p>
        </w:tc>
        <w:tc>
          <w:tcPr>
            <w:tcW w:w="11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6,047</w:t>
            </w:r>
          </w:p>
        </w:tc>
        <w:tc>
          <w:tcPr>
            <w:tcW w:w="12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168,526</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179,055</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129,136</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129,136</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7"/>
              </w:rPr>
              <w:t>Accounts receivable from re-insurers and co-insurers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160,249</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160,249</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1,518,414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1,518,414</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8,045,375</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5,531,209</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2,879,922</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4,616,797</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b w:val="1"/>
                <w:bCs w:val="1"/>
                <w:color w:val="auto"/>
              </w:rPr>
              <w:t>2,871,725</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4,468,152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28,413,180</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6,366,203</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4,150,629</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2,629,260</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518,882</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42,574</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4,360,570</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18,068,118</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512,259</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510,293</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960,721</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118,361</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110,220</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32,592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2,244,446</w:t>
            </w:r>
          </w:p>
        </w:tc>
        <w:tc>
          <w:tcPr>
            <w:tcW w:w="0" w:type="dxa"/>
            <w:vAlign w:val="bottom"/>
          </w:tcPr>
          <w:p>
            <w:pPr>
              <w:spacing w:after="0"/>
              <w:rPr>
                <w:sz w:val="1"/>
                <w:szCs w:val="1"/>
                <w:color w:val="auto"/>
              </w:rPr>
            </w:pPr>
          </w:p>
        </w:tc>
      </w:tr>
      <w:tr>
        <w:trPr>
          <w:trHeight w:val="130"/>
        </w:trPr>
        <w:tc>
          <w:tcPr>
            <w:tcW w:w="3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Liabilities designated at fair value through profit or</w:t>
            </w:r>
          </w:p>
        </w:tc>
        <w:tc>
          <w:tcPr>
            <w:tcW w:w="134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FFCC"/>
          </w:tcPr>
          <w:p>
            <w:pPr>
              <w:spacing w:after="0"/>
              <w:rPr>
                <w:sz w:val="20"/>
                <w:szCs w:val="20"/>
                <w:color w:val="auto"/>
              </w:rPr>
            </w:pPr>
            <w:r>
              <w:rPr>
                <w:rFonts w:ascii="Arial" w:cs="Arial" w:eastAsia="Arial" w:hAnsi="Arial"/>
                <w:sz w:val="14"/>
                <w:szCs w:val="14"/>
                <w:color w:val="auto"/>
              </w:rPr>
              <w:t>loss</w:t>
            </w:r>
          </w:p>
        </w:tc>
        <w:tc>
          <w:tcPr>
            <w:tcW w:w="13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60,775</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60,775</w:t>
            </w:r>
          </w:p>
        </w:tc>
        <w:tc>
          <w:tcPr>
            <w:tcW w:w="0" w:type="dxa"/>
            <w:vAlign w:val="bottom"/>
          </w:tcPr>
          <w:p>
            <w:pPr>
              <w:spacing w:after="0"/>
              <w:rPr>
                <w:sz w:val="1"/>
                <w:szCs w:val="1"/>
                <w:color w:val="auto"/>
              </w:rPr>
            </w:pPr>
          </w:p>
        </w:tc>
      </w:tr>
      <w:tr>
        <w:trPr>
          <w:trHeight w:val="130"/>
        </w:trPr>
        <w:tc>
          <w:tcPr>
            <w:tcW w:w="3220" w:type="dxa"/>
            <w:vAlign w:val="bottom"/>
          </w:tcPr>
          <w:p>
            <w:pPr>
              <w:spacing w:after="0" w:line="130" w:lineRule="exact"/>
              <w:rPr>
                <w:sz w:val="20"/>
                <w:szCs w:val="20"/>
                <w:color w:val="auto"/>
              </w:rPr>
            </w:pPr>
            <w:r>
              <w:rPr>
                <w:rFonts w:ascii="Arial" w:cs="Arial" w:eastAsia="Arial" w:hAnsi="Arial"/>
                <w:sz w:val="14"/>
                <w:szCs w:val="14"/>
                <w:color w:val="auto"/>
                <w:w w:val="95"/>
              </w:rPr>
              <w:t>Technical, insurance claims reserves and reserves for</w:t>
            </w:r>
          </w:p>
        </w:tc>
        <w:tc>
          <w:tcPr>
            <w:tcW w:w="1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Arial" w:cs="Arial" w:eastAsia="Arial" w:hAnsi="Arial"/>
                <w:sz w:val="14"/>
                <w:szCs w:val="14"/>
                <w:color w:val="auto"/>
              </w:rPr>
              <w:t>unearned premiums</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51,258</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31,035</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139,700</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188,801</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432,951</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352,578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1,196,323</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846,300</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39,086</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138,369</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422,571</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1,529,341</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26,031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3,001,698</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911,569</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911,569</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2,930,251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2,930,251</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7,776,020</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4,731,043</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3,868,050</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1,248,615</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2,115,086</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8,674,366</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28,413,180</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34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Derivatives assets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1,714,934</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1,263,398</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957,222</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712,778</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88,737</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4,737,069</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liabilities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796,919</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1,247,468</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1,111,120</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1,335,431</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246,131</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4,737,069</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918,015</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15,930</w:t>
            </w:r>
          </w:p>
        </w:tc>
        <w:tc>
          <w:tcPr>
            <w:tcW w:w="12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(153,898)</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(622,653)</w:t>
            </w: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(157,394)</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1,187,370</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816,096</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(1,142,026)</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2,745,529</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599,245</w:t>
            </w:r>
          </w:p>
        </w:tc>
        <w:tc>
          <w:tcPr>
            <w:tcW w:w="120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(4,206,214)</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r>
              <w:rPr>
                <w:rFonts w:ascii="Arial" w:cs="Arial" w:eastAsia="Arial" w:hAnsi="Arial"/>
                <w:sz w:val="14"/>
                <w:szCs w:val="14"/>
                <w:b w:val="1"/>
                <w:bCs w:val="1"/>
                <w:color w:val="auto"/>
              </w:rPr>
              <w:t>Accumulated gap</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1,187,370</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2,003,466</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861,440</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3,606,969</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4,206,214</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8"/>
        </w:trPr>
        <w:tc>
          <w:tcPr>
            <w:tcW w:w="32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340" w:type="dxa"/>
            <w:vAlign w:val="bottom"/>
          </w:tcPr>
          <w:p>
            <w:pPr>
              <w:jc w:val="center"/>
              <w:ind w:right="108"/>
              <w:spacing w:after="0" w:line="126" w:lineRule="exact"/>
              <w:rPr>
                <w:sz w:val="20"/>
                <w:szCs w:val="20"/>
                <w:color w:val="auto"/>
              </w:rPr>
            </w:pPr>
            <w:r>
              <w:rPr>
                <w:rFonts w:ascii="Arial" w:cs="Arial" w:eastAsia="Arial" w:hAnsi="Arial"/>
                <w:sz w:val="14"/>
                <w:szCs w:val="14"/>
                <w:b w:val="1"/>
                <w:bCs w:val="1"/>
                <w:color w:val="auto"/>
                <w:w w:val="92"/>
              </w:rPr>
              <w:t>Up to 1</w:t>
            </w:r>
          </w:p>
        </w:tc>
        <w:tc>
          <w:tcPr>
            <w:tcW w:w="116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87"/>
              </w:rPr>
              <w:t>1 to 3</w:t>
            </w:r>
          </w:p>
        </w:tc>
        <w:tc>
          <w:tcPr>
            <w:tcW w:w="122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4"/>
              </w:rPr>
              <w:t>3 to 12</w:t>
            </w: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1 to 5 years</w:t>
            </w:r>
          </w:p>
        </w:tc>
        <w:tc>
          <w:tcPr>
            <w:tcW w:w="1100" w:type="dxa"/>
            <w:vAlign w:val="bottom"/>
          </w:tcPr>
          <w:p>
            <w:pPr>
              <w:jc w:val="center"/>
              <w:ind w:right="128"/>
              <w:spacing w:after="0" w:line="126" w:lineRule="exact"/>
              <w:rPr>
                <w:sz w:val="20"/>
                <w:szCs w:val="20"/>
                <w:color w:val="auto"/>
              </w:rPr>
            </w:pPr>
            <w:r>
              <w:rPr>
                <w:rFonts w:ascii="Arial" w:cs="Arial" w:eastAsia="Arial" w:hAnsi="Arial"/>
                <w:sz w:val="14"/>
                <w:szCs w:val="14"/>
                <w:b w:val="1"/>
                <w:bCs w:val="1"/>
                <w:color w:val="auto"/>
                <w:w w:val="94"/>
              </w:rPr>
              <w:t>More than 5</w:t>
            </w:r>
          </w:p>
        </w:tc>
        <w:tc>
          <w:tcPr>
            <w:tcW w:w="120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3220" w:type="dxa"/>
            <w:vAlign w:val="bottom"/>
          </w:tcPr>
          <w:p>
            <w:pPr>
              <w:spacing w:after="0"/>
              <w:rPr>
                <w:sz w:val="13"/>
                <w:szCs w:val="13"/>
                <w:color w:val="auto"/>
              </w:rPr>
            </w:pPr>
          </w:p>
        </w:tc>
        <w:tc>
          <w:tcPr>
            <w:tcW w:w="134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3"/>
              </w:rPr>
              <w:t>month</w:t>
            </w:r>
          </w:p>
        </w:tc>
        <w:tc>
          <w:tcPr>
            <w:tcW w:w="116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86"/>
              </w:rPr>
              <w:t>months</w:t>
            </w:r>
          </w:p>
        </w:tc>
        <w:tc>
          <w:tcPr>
            <w:tcW w:w="122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0"/>
              </w:rPr>
              <w:t>months</w:t>
            </w:r>
          </w:p>
        </w:tc>
        <w:tc>
          <w:tcPr>
            <w:tcW w:w="1140" w:type="dxa"/>
            <w:vAlign w:val="bottom"/>
            <w:vMerge w:val="continue"/>
          </w:tcPr>
          <w:p>
            <w:pPr>
              <w:spacing w:after="0"/>
              <w:rPr>
                <w:sz w:val="13"/>
                <w:szCs w:val="13"/>
                <w:color w:val="auto"/>
              </w:rPr>
            </w:pPr>
          </w:p>
        </w:tc>
        <w:tc>
          <w:tcPr>
            <w:tcW w:w="110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w w:val="92"/>
              </w:rPr>
              <w:t>years</w:t>
            </w:r>
          </w:p>
        </w:tc>
        <w:tc>
          <w:tcPr>
            <w:tcW w:w="120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4"/>
              </w:rPr>
              <w:t>bearing</w:t>
            </w: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340" w:type="dxa"/>
            <w:vAlign w:val="bottom"/>
          </w:tcPr>
          <w:p>
            <w:pPr>
              <w:jc w:val="center"/>
              <w:ind w:right="108"/>
              <w:spacing w:after="0"/>
              <w:rPr>
                <w:sz w:val="20"/>
                <w:szCs w:val="20"/>
                <w:color w:val="auto"/>
              </w:rPr>
            </w:pPr>
            <w:r>
              <w:rPr>
                <w:rFonts w:ascii="Arial" w:cs="Arial" w:eastAsia="Arial" w:hAnsi="Arial"/>
                <w:sz w:val="14"/>
                <w:szCs w:val="14"/>
                <w:i w:val="1"/>
                <w:iCs w:val="1"/>
                <w:color w:val="auto"/>
                <w:w w:val="93"/>
              </w:rPr>
              <w:t>US$(000)</w:t>
            </w:r>
          </w:p>
        </w:tc>
        <w:tc>
          <w:tcPr>
            <w:tcW w:w="1160" w:type="dxa"/>
            <w:vAlign w:val="bottom"/>
          </w:tcPr>
          <w:p>
            <w:pPr>
              <w:jc w:val="center"/>
              <w:ind w:right="168"/>
              <w:spacing w:after="0"/>
              <w:rPr>
                <w:sz w:val="20"/>
                <w:szCs w:val="20"/>
                <w:color w:val="auto"/>
              </w:rPr>
            </w:pPr>
            <w:r>
              <w:rPr>
                <w:rFonts w:ascii="Arial" w:cs="Arial" w:eastAsia="Arial" w:hAnsi="Arial"/>
                <w:sz w:val="14"/>
                <w:szCs w:val="14"/>
                <w:i w:val="1"/>
                <w:iCs w:val="1"/>
                <w:color w:val="auto"/>
                <w:w w:val="93"/>
              </w:rPr>
              <w:t>US$(000)</w:t>
            </w:r>
          </w:p>
        </w:tc>
        <w:tc>
          <w:tcPr>
            <w:tcW w:w="1220" w:type="dxa"/>
            <w:vAlign w:val="bottom"/>
          </w:tcPr>
          <w:p>
            <w:pPr>
              <w:jc w:val="center"/>
              <w:ind w:right="188"/>
              <w:spacing w:after="0"/>
              <w:rPr>
                <w:sz w:val="20"/>
                <w:szCs w:val="20"/>
                <w:color w:val="auto"/>
              </w:rPr>
            </w:pPr>
            <w:r>
              <w:rPr>
                <w:rFonts w:ascii="Arial" w:cs="Arial" w:eastAsia="Arial" w:hAnsi="Arial"/>
                <w:sz w:val="14"/>
                <w:szCs w:val="14"/>
                <w:i w:val="1"/>
                <w:iCs w:val="1"/>
                <w:color w:val="auto"/>
                <w:w w:val="93"/>
              </w:rPr>
              <w:t>US$(000)</w:t>
            </w:r>
          </w:p>
        </w:tc>
        <w:tc>
          <w:tcPr>
            <w:tcW w:w="1140" w:type="dxa"/>
            <w:vAlign w:val="bottom"/>
          </w:tcPr>
          <w:p>
            <w:pPr>
              <w:jc w:val="right"/>
              <w:ind w:right="328"/>
              <w:spacing w:after="0"/>
              <w:rPr>
                <w:sz w:val="20"/>
                <w:szCs w:val="20"/>
                <w:color w:val="auto"/>
              </w:rPr>
            </w:pPr>
            <w:r>
              <w:rPr>
                <w:rFonts w:ascii="Arial" w:cs="Arial" w:eastAsia="Arial" w:hAnsi="Arial"/>
                <w:sz w:val="14"/>
                <w:szCs w:val="14"/>
                <w:i w:val="1"/>
                <w:iCs w:val="1"/>
                <w:color w:val="auto"/>
              </w:rPr>
              <w:t>US$(000)</w:t>
            </w:r>
          </w:p>
        </w:tc>
        <w:tc>
          <w:tcPr>
            <w:tcW w:w="1100" w:type="dxa"/>
            <w:vAlign w:val="bottom"/>
          </w:tcPr>
          <w:p>
            <w:pPr>
              <w:jc w:val="center"/>
              <w:ind w:right="128"/>
              <w:spacing w:after="0"/>
              <w:rPr>
                <w:sz w:val="20"/>
                <w:szCs w:val="20"/>
                <w:color w:val="auto"/>
              </w:rPr>
            </w:pPr>
            <w:r>
              <w:rPr>
                <w:rFonts w:ascii="Arial" w:cs="Arial" w:eastAsia="Arial" w:hAnsi="Arial"/>
                <w:sz w:val="14"/>
                <w:szCs w:val="14"/>
                <w:i w:val="1"/>
                <w:iCs w:val="1"/>
                <w:color w:val="auto"/>
                <w:w w:val="90"/>
              </w:rPr>
              <w:t>US$(000)</w:t>
            </w:r>
          </w:p>
        </w:tc>
        <w:tc>
          <w:tcPr>
            <w:tcW w:w="1200" w:type="dxa"/>
            <w:vAlign w:val="bottom"/>
          </w:tcPr>
          <w:p>
            <w:pPr>
              <w:jc w:val="center"/>
              <w:ind w:right="168"/>
              <w:spacing w:after="0"/>
              <w:rPr>
                <w:sz w:val="20"/>
                <w:szCs w:val="20"/>
                <w:color w:val="auto"/>
              </w:rPr>
            </w:pPr>
            <w:r>
              <w:rPr>
                <w:rFonts w:ascii="Arial" w:cs="Arial" w:eastAsia="Arial" w:hAnsi="Arial"/>
                <w:sz w:val="14"/>
                <w:szCs w:val="14"/>
                <w:i w:val="1"/>
                <w:iCs w:val="1"/>
                <w:color w:val="auto"/>
                <w:w w:val="93"/>
              </w:rPr>
              <w:t>US$(000)</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93"/>
              </w:rPr>
              <w:t>US$(000)</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34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2,745,587</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70,616</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81,969</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938,486</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3,836,658</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468,952</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956,305</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956,692</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1,188,886</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879,810</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699,735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5,150,380</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1,739,632</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3,144,271</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2,142,219</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3,176,243</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1,028,915</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11,231,280</w:t>
            </w:r>
          </w:p>
        </w:tc>
        <w:tc>
          <w:tcPr>
            <w:tcW w:w="0" w:type="dxa"/>
            <w:vAlign w:val="bottom"/>
          </w:tcPr>
          <w:p>
            <w:pPr>
              <w:spacing w:after="0"/>
              <w:rPr>
                <w:sz w:val="1"/>
                <w:szCs w:val="1"/>
                <w:color w:val="auto"/>
              </w:rPr>
            </w:pPr>
          </w:p>
        </w:tc>
      </w:tr>
      <w:tr>
        <w:trPr>
          <w:trHeight w:val="130"/>
        </w:trPr>
        <w:tc>
          <w:tcPr>
            <w:tcW w:w="32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 through profit and</w:t>
            </w:r>
          </w:p>
        </w:tc>
        <w:tc>
          <w:tcPr>
            <w:tcW w:w="1340" w:type="dxa"/>
            <w:vAlign w:val="bottom"/>
            <w:shd w:val="clear" w:color="auto" w:fill="CCFFCC"/>
          </w:tcPr>
          <w:p>
            <w:pPr>
              <w:spacing w:after="0"/>
              <w:rPr>
                <w:sz w:val="11"/>
                <w:szCs w:val="11"/>
                <w:color w:val="auto"/>
              </w:rPr>
            </w:pPr>
          </w:p>
        </w:tc>
        <w:tc>
          <w:tcPr>
            <w:tcW w:w="116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FFCC"/>
          </w:tcPr>
          <w:p>
            <w:pPr>
              <w:spacing w:after="0"/>
              <w:rPr>
                <w:sz w:val="20"/>
                <w:szCs w:val="20"/>
                <w:color w:val="auto"/>
              </w:rPr>
            </w:pPr>
            <w:r>
              <w:rPr>
                <w:rFonts w:ascii="Arial" w:cs="Arial" w:eastAsia="Arial" w:hAnsi="Arial"/>
                <w:sz w:val="14"/>
                <w:szCs w:val="14"/>
                <w:color w:val="auto"/>
              </w:rPr>
              <w:t>loss</w:t>
            </w:r>
          </w:p>
        </w:tc>
        <w:tc>
          <w:tcPr>
            <w:tcW w:w="13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258</w:t>
            </w:r>
          </w:p>
        </w:tc>
        <w:tc>
          <w:tcPr>
            <w:tcW w:w="12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310</w:t>
            </w:r>
          </w:p>
        </w:tc>
        <w:tc>
          <w:tcPr>
            <w:tcW w:w="11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1,657</w:t>
            </w:r>
          </w:p>
        </w:tc>
        <w:tc>
          <w:tcPr>
            <w:tcW w:w="11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3,565</w:t>
            </w:r>
          </w:p>
        </w:tc>
        <w:tc>
          <w:tcPr>
            <w:tcW w:w="120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129,880</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135,670</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121,338</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121,338</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7"/>
              </w:rPr>
              <w:t>Accounts receivable from re-insurers and co-insurers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137,098</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137,098</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1,415,683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1,401,208</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4,954,171</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4,171,450</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b w:val="1"/>
                <w:bCs w:val="1"/>
                <w:color w:val="auto"/>
              </w:rPr>
              <w:t>3,181,190</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4,366,786</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b w:val="1"/>
                <w:bCs w:val="1"/>
                <w:color w:val="auto"/>
              </w:rPr>
              <w:t>1,912,290</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3,427,745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22,013,632</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4,025,133</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3,716,882</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2,705,235</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311,252</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28,601</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3,297,995</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14,085,098</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310,694</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633,874</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10,208</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128,643</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57,835</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26,184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1,167,438</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48,009</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48,009</w:t>
            </w:r>
          </w:p>
        </w:tc>
        <w:tc>
          <w:tcPr>
            <w:tcW w:w="0" w:type="dxa"/>
            <w:vAlign w:val="bottom"/>
          </w:tcPr>
          <w:p>
            <w:pPr>
              <w:spacing w:after="0"/>
              <w:rPr>
                <w:sz w:val="1"/>
                <w:szCs w:val="1"/>
                <w:color w:val="auto"/>
              </w:rPr>
            </w:pPr>
          </w:p>
        </w:tc>
      </w:tr>
      <w:tr>
        <w:trPr>
          <w:trHeight w:val="130"/>
        </w:trPr>
        <w:tc>
          <w:tcPr>
            <w:tcW w:w="3220" w:type="dxa"/>
            <w:vAlign w:val="bottom"/>
          </w:tcPr>
          <w:p>
            <w:pPr>
              <w:spacing w:after="0" w:line="130" w:lineRule="exact"/>
              <w:rPr>
                <w:sz w:val="20"/>
                <w:szCs w:val="20"/>
                <w:color w:val="auto"/>
              </w:rPr>
            </w:pPr>
            <w:r>
              <w:rPr>
                <w:rFonts w:ascii="Arial" w:cs="Arial" w:eastAsia="Arial" w:hAnsi="Arial"/>
                <w:sz w:val="14"/>
                <w:szCs w:val="14"/>
                <w:color w:val="auto"/>
                <w:w w:val="95"/>
              </w:rPr>
              <w:t>Technical, insurance claims reserves and reserves for</w:t>
            </w:r>
          </w:p>
        </w:tc>
        <w:tc>
          <w:tcPr>
            <w:tcW w:w="1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20"/>
                <w:szCs w:val="20"/>
                <w:color w:val="auto"/>
              </w:rPr>
            </w:pPr>
            <w:r>
              <w:rPr>
                <w:rFonts w:ascii="Arial" w:cs="Arial" w:eastAsia="Arial" w:hAnsi="Arial"/>
                <w:sz w:val="14"/>
                <w:szCs w:val="14"/>
                <w:color w:val="auto"/>
              </w:rPr>
              <w:t>unearned premiums</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39,932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24,949</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112,373</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164,216</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367,552</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309,769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1,018,791</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959,341</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21,583</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91,742</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541,980</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755,036</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13,291</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2,382,973</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807,971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807,971</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2,503,352</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2,503,352</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5,335,100</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4,397,288</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2,919,558</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1,146,091</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1,209,024</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7,006,571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22,013,632</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340" w:type="dxa"/>
            <w:vAlign w:val="bottom"/>
            <w:shd w:val="clear" w:color="auto" w:fill="CCFFCC"/>
          </w:tcPr>
          <w:p>
            <w:pPr>
              <w:spacing w:after="0"/>
              <w:rPr>
                <w:sz w:val="12"/>
                <w:szCs w:val="12"/>
                <w:color w:val="auto"/>
              </w:rPr>
            </w:pPr>
          </w:p>
        </w:tc>
        <w:tc>
          <w:tcPr>
            <w:tcW w:w="11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color w:val="auto"/>
              </w:rPr>
              <w:t>Derivatives assets</w:t>
            </w: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1,906,470</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1,433,785</w:t>
            </w:r>
          </w:p>
        </w:tc>
        <w:tc>
          <w:tcPr>
            <w:tcW w:w="12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888,658</w:t>
            </w:r>
          </w:p>
        </w:tc>
        <w:tc>
          <w:tcPr>
            <w:tcW w:w="11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1,049,519</w:t>
            </w:r>
          </w:p>
        </w:tc>
        <w:tc>
          <w:tcPr>
            <w:tcW w:w="11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61,732</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5,340,164</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liabilities</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871,557</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1,127,635</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1,111,646</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1,859,281</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370,045</w:t>
            </w:r>
          </w:p>
        </w:tc>
        <w:tc>
          <w:tcPr>
            <w:tcW w:w="120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5,340,164</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1,034,913</w:t>
            </w:r>
          </w:p>
        </w:tc>
        <w:tc>
          <w:tcPr>
            <w:tcW w:w="11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306,150</w:t>
            </w:r>
          </w:p>
        </w:tc>
        <w:tc>
          <w:tcPr>
            <w:tcW w:w="12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(222,988)</w:t>
            </w:r>
          </w:p>
        </w:tc>
        <w:tc>
          <w:tcPr>
            <w:tcW w:w="11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(809,762)</w:t>
            </w: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(308,313)</w:t>
            </w:r>
          </w:p>
        </w:tc>
        <w:tc>
          <w:tcPr>
            <w:tcW w:w="12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3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653,984</w:t>
            </w:r>
          </w:p>
        </w:tc>
        <w:tc>
          <w:tcPr>
            <w:tcW w:w="11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80,312</w:t>
            </w:r>
          </w:p>
        </w:tc>
        <w:tc>
          <w:tcPr>
            <w:tcW w:w="122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38,644</w:t>
            </w:r>
          </w:p>
        </w:tc>
        <w:tc>
          <w:tcPr>
            <w:tcW w:w="11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2,410,933</w:t>
            </w:r>
          </w:p>
        </w:tc>
        <w:tc>
          <w:tcPr>
            <w:tcW w:w="11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394,953</w:t>
            </w:r>
          </w:p>
        </w:tc>
        <w:tc>
          <w:tcPr>
            <w:tcW w:w="120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(3,578,826)</w:t>
            </w:r>
          </w:p>
        </w:tc>
        <w:tc>
          <w:tcPr>
            <w:tcW w:w="10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3220" w:type="dxa"/>
            <w:vAlign w:val="bottom"/>
          </w:tcPr>
          <w:p>
            <w:pPr>
              <w:spacing w:after="0"/>
              <w:rPr>
                <w:sz w:val="20"/>
                <w:szCs w:val="20"/>
                <w:color w:val="auto"/>
              </w:rPr>
            </w:pPr>
            <w:r>
              <w:rPr>
                <w:rFonts w:ascii="Arial" w:cs="Arial" w:eastAsia="Arial" w:hAnsi="Arial"/>
                <w:sz w:val="14"/>
                <w:szCs w:val="14"/>
                <w:b w:val="1"/>
                <w:bCs w:val="1"/>
                <w:color w:val="auto"/>
              </w:rPr>
              <w:t>Accumulated gap</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653,984</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734,296</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772,940</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3,183,873</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3,578,826</w:t>
            </w:r>
          </w:p>
        </w:tc>
        <w:tc>
          <w:tcPr>
            <w:tcW w:w="12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sensitivity of our consolidated income statement and consolidated statement of comprehensive income (before tax and non-controlling interest) to a reasonable possible change in interest rates, with all other variables held constant.</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sensitivity of the consolidated income statement reflects the effect of the assumed changes in interest rates on the net interest income for one year before income tax and non-controlling interest, based on the floating rate of non-trading financial assets and financial liabilities held at December 31, 2010 and 2009, including the effect of derivatives instruments. The sensitivity of consolidated comprehensive income is calculated by revaluing, at various interest rates, our fixed rate available-for-sale financial assets before income tax and non-controlling interest. The analysis includes the effect of any associated hedges and derivative instruments designated as cash flow hedges, as of December 31, 2010 and 2009: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center"/>
              <w:ind w:left="770"/>
              <w:spacing w:after="0"/>
              <w:rPr>
                <w:sz w:val="20"/>
                <w:szCs w:val="20"/>
                <w:color w:val="auto"/>
              </w:rPr>
            </w:pPr>
            <w:r>
              <w:rPr>
                <w:rFonts w:ascii="Arial" w:cs="Arial" w:eastAsia="Arial" w:hAnsi="Arial"/>
                <w:sz w:val="18"/>
                <w:szCs w:val="18"/>
                <w:b w:val="1"/>
                <w:bCs w:val="1"/>
                <w:color w:val="auto"/>
                <w:w w:val="89"/>
              </w:rPr>
              <w:t>As of December 31, 2010</w:t>
            </w:r>
          </w:p>
        </w:tc>
        <w:tc>
          <w:tcPr>
            <w:tcW w:w="1200" w:type="dxa"/>
            <w:vAlign w:val="bottom"/>
            <w:tcBorders>
              <w:bottom w:val="single" w:sz="8" w:color="auto"/>
            </w:tcBorders>
          </w:tcPr>
          <w:p>
            <w:pPr>
              <w:spacing w:after="0"/>
              <w:rPr>
                <w:sz w:val="20"/>
                <w:szCs w:val="20"/>
                <w:color w:val="auto"/>
              </w:rPr>
            </w:pPr>
          </w:p>
        </w:tc>
      </w:tr>
      <w:tr>
        <w:trPr>
          <w:trHeight w:val="198"/>
        </w:trPr>
        <w:tc>
          <w:tcPr>
            <w:tcW w:w="6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w w:val="90"/>
              </w:rPr>
              <w:t>Changes in</w:t>
            </w:r>
          </w:p>
        </w:tc>
        <w:tc>
          <w:tcPr>
            <w:tcW w:w="15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7"/>
              </w:rPr>
              <w:t>Sensitivity of</w:t>
            </w:r>
          </w:p>
        </w:tc>
        <w:tc>
          <w:tcPr>
            <w:tcW w:w="15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7"/>
              </w:rPr>
              <w:t>Sensitivity of</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w w:val="85"/>
              </w:rPr>
              <w:t>basis points</w:t>
            </w:r>
          </w:p>
        </w:tc>
        <w:tc>
          <w:tcPr>
            <w:tcW w:w="340" w:type="dxa"/>
            <w:vAlign w:val="bottom"/>
          </w:tcPr>
          <w:p>
            <w:pPr>
              <w:spacing w:after="0"/>
              <w:rPr>
                <w:sz w:val="18"/>
                <w:szCs w:val="18"/>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net income</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comprehensive</w:t>
            </w:r>
          </w:p>
        </w:tc>
      </w:tr>
      <w:tr>
        <w:trPr>
          <w:trHeight w:val="220"/>
        </w:trPr>
        <w:tc>
          <w:tcPr>
            <w:tcW w:w="67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income</w:t>
            </w:r>
          </w:p>
        </w:tc>
      </w:tr>
      <w:tr>
        <w:trPr>
          <w:trHeight w:val="230"/>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ind w:right="250"/>
              <w:spacing w:after="0"/>
              <w:rPr>
                <w:sz w:val="20"/>
                <w:szCs w:val="20"/>
                <w:color w:val="auto"/>
              </w:rPr>
            </w:pPr>
            <w:r>
              <w:rPr>
                <w:rFonts w:ascii="Arial" w:cs="Arial" w:eastAsia="Arial" w:hAnsi="Arial"/>
                <w:sz w:val="18"/>
                <w:szCs w:val="18"/>
                <w:i w:val="1"/>
                <w:iCs w:val="1"/>
                <w:color w:val="auto"/>
                <w:w w:val="90"/>
              </w:rPr>
              <w:t>US$(000)</w:t>
            </w:r>
          </w:p>
        </w:tc>
        <w:tc>
          <w:tcPr>
            <w:tcW w:w="380" w:type="dxa"/>
            <w:vAlign w:val="bottom"/>
          </w:tcPr>
          <w:p>
            <w:pPr>
              <w:spacing w:after="0"/>
              <w:rPr>
                <w:sz w:val="20"/>
                <w:szCs w:val="20"/>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i w:val="1"/>
                <w:iCs w:val="1"/>
                <w:color w:val="auto"/>
                <w:w w:val="90"/>
              </w:rPr>
              <w:t>US$(000)</w:t>
            </w:r>
          </w:p>
        </w:tc>
      </w:tr>
      <w:tr>
        <w:trPr>
          <w:trHeight w:val="216"/>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8,607</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57,293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U.S. Dollar</w:t>
            </w:r>
          </w:p>
        </w:tc>
        <w:tc>
          <w:tcPr>
            <w:tcW w:w="24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12,911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85,940</w:t>
            </w:r>
          </w:p>
        </w:tc>
      </w:tr>
      <w:tr>
        <w:trPr>
          <w:trHeight w:val="216"/>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17,215</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114,587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U.S. Dollar</w:t>
            </w:r>
          </w:p>
        </w:tc>
        <w:tc>
          <w:tcPr>
            <w:tcW w:w="24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25,822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171,880</w:t>
            </w:r>
          </w:p>
        </w:tc>
      </w:tr>
      <w:tr>
        <w:trPr>
          <w:trHeight w:val="216"/>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1,658</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32,541</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Peruvian Currency</w:t>
            </w:r>
          </w:p>
        </w:tc>
        <w:tc>
          <w:tcPr>
            <w:tcW w:w="24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48,812</w:t>
            </w:r>
          </w:p>
        </w:tc>
      </w:tr>
      <w:tr>
        <w:trPr>
          <w:trHeight w:val="216"/>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3,317</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65,083</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Peruvian Currency</w:t>
            </w:r>
          </w:p>
        </w:tc>
        <w:tc>
          <w:tcPr>
            <w:tcW w:w="24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97,624</w:t>
            </w: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13" w:name="page114"/>
    <w:bookmarkEnd w:id="113"/>
    <w:p>
      <w:pPr>
        <w:jc w:val="both"/>
        <w:ind w:firstLine="648"/>
        <w:spacing w:after="0" w:line="273"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our current interest rate risk profile. This effect, however, does not incorporate actions that would be taken by our management to mitigate the impact of this interest rate risk. In addition, we seek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an assumption that all positions run to maturity.</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and mutual funds are not considered as part of the investment securities for sensitivity calculation purposes; however, presented below is a table of how the expected unrealized gain or loss on equity securities and mutual funds responds to changes in market prices of these securities, at the 10%, 25%, and 30% levels is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40" w:type="dxa"/>
            <w:vAlign w:val="bottom"/>
          </w:tcPr>
          <w:p>
            <w:pPr>
              <w:ind w:left="2560"/>
              <w:spacing w:after="0"/>
              <w:rPr>
                <w:sz w:val="20"/>
                <w:szCs w:val="20"/>
                <w:color w:val="auto"/>
              </w:rPr>
            </w:pPr>
            <w:r>
              <w:rPr>
                <w:rFonts w:ascii="Arial" w:cs="Arial" w:eastAsia="Arial" w:hAnsi="Arial"/>
                <w:sz w:val="18"/>
                <w:szCs w:val="18"/>
                <w:b w:val="1"/>
                <w:bCs w:val="1"/>
                <w:color w:val="auto"/>
              </w:rPr>
              <w:t>Market price sensitivity</w:t>
            </w:r>
          </w:p>
        </w:tc>
        <w:tc>
          <w:tcPr>
            <w:tcW w:w="20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8"/>
                <w:szCs w:val="18"/>
                <w:b w:val="1"/>
                <w:bCs w:val="1"/>
                <w:color w:val="auto"/>
                <w:w w:val="97"/>
              </w:rPr>
              <w:t>Changes in market prices</w:t>
            </w:r>
          </w:p>
        </w:tc>
        <w:tc>
          <w:tcPr>
            <w:tcW w:w="2100" w:type="dxa"/>
            <w:vAlign w:val="bottom"/>
            <w:gridSpan w:val="3"/>
          </w:tcPr>
          <w:p>
            <w:pPr>
              <w:ind w:left="100"/>
              <w:spacing w:after="0"/>
              <w:rPr>
                <w:sz w:val="20"/>
                <w:szCs w:val="20"/>
                <w:color w:val="auto"/>
              </w:rPr>
            </w:pPr>
            <w:r>
              <w:rPr>
                <w:rFonts w:ascii="Arial" w:cs="Arial" w:eastAsia="Arial" w:hAnsi="Arial"/>
                <w:sz w:val="18"/>
                <w:szCs w:val="18"/>
                <w:b w:val="1"/>
                <w:bCs w:val="1"/>
                <w:color w:val="auto"/>
                <w:w w:val="93"/>
              </w:rPr>
              <w:t>As of December 31, 2010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Equity securities</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Mutual funds</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7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Mutual funds</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23,142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financial position and cash flows are exposed to foreign currency exchange rates.  Our management sets limits on the level of exposure by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gridSpan w:val="5"/>
          </w:tcPr>
          <w:p>
            <w:pPr>
              <w:spacing w:after="0"/>
              <w:rPr>
                <w:sz w:val="20"/>
                <w:szCs w:val="20"/>
                <w:color w:val="auto"/>
              </w:rPr>
            </w:pPr>
            <w:r>
              <w:rPr>
                <w:rFonts w:ascii="Arial" w:cs="Arial" w:eastAsia="Arial" w:hAnsi="Arial"/>
                <w:sz w:val="18"/>
                <w:szCs w:val="18"/>
                <w:color w:val="auto"/>
              </w:rPr>
              <w:t>currency and in total for both overnight and intra-day positions, which are monitored daily:</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60" w:type="dxa"/>
            <w:vAlign w:val="bottom"/>
            <w:gridSpan w:val="2"/>
          </w:tcPr>
          <w:p>
            <w:pPr>
              <w:jc w:val="right"/>
              <w:ind w:right="27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US$(000)</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3,594,405</w:t>
            </w:r>
          </w:p>
        </w:tc>
        <w:tc>
          <w:tcPr>
            <w:tcW w:w="1140" w:type="dxa"/>
            <w:vAlign w:val="bottom"/>
          </w:tcPr>
          <w:p>
            <w:pPr>
              <w:jc w:val="right"/>
              <w:spacing w:after="0"/>
              <w:rPr>
                <w:sz w:val="20"/>
                <w:szCs w:val="20"/>
                <w:color w:val="auto"/>
              </w:rPr>
            </w:pPr>
            <w:r>
              <w:rPr>
                <w:rFonts w:ascii="Arial" w:cs="Arial" w:eastAsia="Arial" w:hAnsi="Arial"/>
                <w:sz w:val="18"/>
                <w:szCs w:val="18"/>
                <w:color w:val="auto"/>
              </w:rPr>
              <w:t>4,747,802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240,648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8,582,855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59,020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56,548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2,162,738</w:t>
            </w:r>
          </w:p>
        </w:tc>
        <w:tc>
          <w:tcPr>
            <w:tcW w:w="1140" w:type="dxa"/>
            <w:vAlign w:val="bottom"/>
          </w:tcPr>
          <w:p>
            <w:pPr>
              <w:jc w:val="right"/>
              <w:spacing w:after="0"/>
              <w:rPr>
                <w:sz w:val="20"/>
                <w:szCs w:val="20"/>
                <w:color w:val="auto"/>
              </w:rPr>
            </w:pPr>
            <w:r>
              <w:rPr>
                <w:rFonts w:ascii="Arial" w:cs="Arial" w:eastAsia="Arial" w:hAnsi="Arial"/>
                <w:sz w:val="18"/>
                <w:szCs w:val="18"/>
                <w:color w:val="auto"/>
              </w:rPr>
              <w:t>1,223,339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382,171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8,356,316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5,260,816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342,523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13,959,655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179,055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422,890</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530,516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14,382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967,788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14,774,424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11,819,021</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979,724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27,573,169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(9,385,298)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(8,051,953)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(630,867)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(18,068,118)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(1,970,971)</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(273,366)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(2,244,446)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88"/>
              </w:rPr>
              <w:t>Technical reserves, insurance claims reserves and reserves for unearned premiums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(892,998)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(303,325)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(2,327,172)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(550,014)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(124,512)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(530,611)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(375,394)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(66,339)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(972,344)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(15,107,050)</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(9,554,052)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(821,827)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(25,482,929)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(332,626)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2,264,969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157,897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2,090,240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956,279</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(951,426)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(4,853)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(222,854)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222,854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Cross-currency swaps position, net and interest rate swaps position,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(252,912)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129,050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123,862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25,561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(25,561)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173,448</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1,639,886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276,906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2,090,240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60" w:type="dxa"/>
            <w:vAlign w:val="bottom"/>
            <w:gridSpan w:val="2"/>
          </w:tcPr>
          <w:p>
            <w:pPr>
              <w:jc w:val="right"/>
              <w:ind w:right="27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i w:val="1"/>
                <w:iCs w:val="1"/>
                <w:color w:val="auto"/>
              </w:rPr>
              <w:t>US$(000)</w:t>
            </w:r>
          </w:p>
        </w:tc>
        <w:tc>
          <w:tcPr>
            <w:tcW w:w="240" w:type="dxa"/>
            <w:vAlign w:val="bottom"/>
          </w:tcPr>
          <w:p>
            <w:pPr>
              <w:spacing w:after="0"/>
              <w:rPr>
                <w:sz w:val="20"/>
                <w:szCs w:val="20"/>
                <w:color w:val="auto"/>
              </w:rPr>
            </w:pPr>
          </w:p>
        </w:tc>
        <w:tc>
          <w:tcPr>
            <w:tcW w:w="1140" w:type="dxa"/>
            <w:vAlign w:val="bottom"/>
            <w:tcBorders>
              <w:top w:val="single" w:sz="8" w:color="auto"/>
            </w:tcBorders>
          </w:tcPr>
          <w:p>
            <w:pPr>
              <w:ind w:left="22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3,094,366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501,769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240,523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13,982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47,872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2,354,804</w:t>
            </w:r>
          </w:p>
        </w:tc>
        <w:tc>
          <w:tcPr>
            <w:tcW w:w="1140" w:type="dxa"/>
            <w:vAlign w:val="bottom"/>
          </w:tcPr>
          <w:p>
            <w:pPr>
              <w:jc w:val="right"/>
              <w:spacing w:after="0"/>
              <w:rPr>
                <w:sz w:val="20"/>
                <w:szCs w:val="20"/>
                <w:color w:val="auto"/>
              </w:rPr>
            </w:pPr>
            <w:r>
              <w:rPr>
                <w:rFonts w:ascii="Arial" w:cs="Arial" w:eastAsia="Arial" w:hAnsi="Arial"/>
                <w:sz w:val="18"/>
                <w:szCs w:val="18"/>
                <w:color w:val="auto"/>
              </w:rPr>
              <w:t>2,034,768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690,034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5,079,606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6,755,563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4,285,076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190,641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11,231,280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135,670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369,995</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549,982</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942,954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12,724,380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7,380,515</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1,192,047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21,296,942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(8,156,869)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(5,392,050)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(536,179)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(14,085,098)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(1,037,742)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(128,800)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88"/>
              </w:rPr>
              <w:t>Technical reserves, insurance claims reserves and reserves for unearned premiums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(744,393)</w:t>
            </w:r>
          </w:p>
        </w:tc>
        <w:tc>
          <w:tcPr>
            <w:tcW w:w="1140" w:type="dxa"/>
            <w:vAlign w:val="bottom"/>
          </w:tcPr>
          <w:p>
            <w:pPr>
              <w:ind w:left="240"/>
              <w:spacing w:after="0"/>
              <w:rPr>
                <w:sz w:val="20"/>
                <w:szCs w:val="20"/>
                <w:color w:val="auto"/>
              </w:rPr>
            </w:pPr>
            <w:r>
              <w:rPr>
                <w:rFonts w:ascii="Arial" w:cs="Arial" w:eastAsia="Arial" w:hAnsi="Arial"/>
                <w:sz w:val="18"/>
                <w:szCs w:val="18"/>
                <w:color w:val="auto"/>
              </w:rPr>
              <w:t>(274,398)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(1,701,319)</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(569,469)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(112,185)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(441,954)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(363,884)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(50,142)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(855,980)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(12,082,277)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(6,728,601)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(699,402)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(19,510,280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642,103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651,914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492,645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1,786,662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265,114</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(198,637)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(66,477)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(142,015)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183,598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(41,583)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Cross-currency swaps position, net and interest rate swaps position,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77,768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129,049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(206,817)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839,259</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769,635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177,768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1,786,662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manage foreign exchange risk by monitoring and controlling the position values due to changes in exchange rates. We measure its performance in U.S. Dollar, so if the net foreign exchange position (e.g. Peruvian currency) is an asset, any depreciation of the U.S. Dollar with respect to this currency would affect positively our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table below shows the sensitivity analysis of the Peruvian Currency, the currency to which we had significant exposure as of December 31, 2010 and 2009 on our non-trading monetary assets and liabilities and our forecasted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our consolidated income statement, while a positive amount reflects a net potential increase: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ind w:left="2520"/>
              <w:spacing w:after="0"/>
              <w:rPr>
                <w:sz w:val="20"/>
                <w:szCs w:val="20"/>
                <w:color w:val="auto"/>
              </w:rPr>
            </w:pPr>
            <w:r>
              <w:rPr>
                <w:rFonts w:ascii="Arial" w:cs="Arial" w:eastAsia="Arial" w:hAnsi="Arial"/>
                <w:sz w:val="18"/>
                <w:szCs w:val="18"/>
                <w:b w:val="1"/>
                <w:bCs w:val="1"/>
                <w:color w:val="auto"/>
              </w:rPr>
              <w:t>Sensitivity Analysis</w:t>
            </w: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Change in Currency Rates</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12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Peruvian Currency</w:t>
            </w:r>
          </w:p>
        </w:tc>
        <w:tc>
          <w:tcPr>
            <w:tcW w:w="21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(86,310)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6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(182,210)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12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Peruvian Currency</w:t>
            </w:r>
          </w:p>
        </w:tc>
        <w:tc>
          <w:tcPr>
            <w:tcW w:w="21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78,090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6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149,081</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69,967</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6" w:name="page117"/>
    <w:bookmarkEnd w:id="116"/>
    <w:p>
      <w:pPr>
        <w:ind w:left="57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52"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Material Defaults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along with our subsidiaries, have never defaulted on any of our debt or have been forced to reschedule any of our obligations.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management, with the participation of and under the supervision of our principal executive officer and principal financial officer, has evaluated the effectiveness of the design and operation of our disclosure controls and procedures (as defined in Exchange Act Rules 13a-15(e) and 15d-15(e)) as of December 31, 2010. Based on this evaluation, our management, principal executive officer, and principal financial officer have concluded that our disclosure controls and procedures are effective in ensuring that information that we are required to disclose in reports that we file or submit under the Exchange Act is recorded, processed, summarized, and reported within the time periods specified in U.S. Securities and Exchange Commission (SEC) rules and forms.</w:t>
      </w:r>
    </w:p>
    <w:p>
      <w:pPr>
        <w:spacing w:after="0" w:line="154"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and management are responsible for establishing and maintaining adequate internal control over financial reporting. Our internal control over financial reporting is designed to provide reasonable assurance regarding the reliability of financial reporting and the preparation and fair presentation of published financial statements in accordance with International Financial Reporting Standards, or IFRS, as issued by the International Accounting Standards Board, the IASB.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control over financial reporting includes policies and procedures that:</w:t>
      </w:r>
    </w:p>
    <w:p>
      <w:pPr>
        <w:spacing w:after="0" w:line="225" w:lineRule="exact"/>
        <w:rPr>
          <w:sz w:val="20"/>
          <w:szCs w:val="20"/>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and our receipts and expenditures are being made only in accordance with authorizations of our management in accordance with IFRS;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7" w:name="page118"/>
    <w:bookmarkEnd w:id="117"/>
    <w:p>
      <w:pPr>
        <w:jc w:val="both"/>
        <w:ind w:firstLine="648"/>
        <w:spacing w:after="0" w:line="27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2009 based on the criteria set forth by the Committee of Sponsoring Organizations of the Treadway Commission, or COSO, in Internal Control-Integrated Framework. Based on this assessment, our management concluded that, as of December 31, 2010, our internal control over financial reporting was effective. Our management also found no material weaknesses in our internal control over financial reporting and therefore no corrective actions were taken.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2010 has been audited by Medina, Zaldívar, Paredes &amp; Asociados (member firm of Ernst &amp; Young Global), our independent registered public accounting firm, as stated in their report included herein, and it has expressed an unqualified opinion on the effectiveness of our internal control over financial reporting as of December 31, 2010.</w:t>
      </w:r>
    </w:p>
    <w:p>
      <w:pPr>
        <w:spacing w:after="0" w:line="189"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Shareholders and Board of Directors of </w:t>
      </w:r>
      <w:r>
        <w:rPr>
          <w:rFonts w:ascii="Arial" w:cs="Arial" w:eastAsia="Arial" w:hAnsi="Arial"/>
          <w:sz w:val="18"/>
          <w:szCs w:val="18"/>
          <w:b w:val="1"/>
          <w:bCs w:val="1"/>
          <w:color w:val="auto"/>
        </w:rPr>
        <w:t>Credicorp Ltd.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Credicorp Ltd. and Subsidiaries’ (hereinafter “Credicorp”) internal control over financial reporting as of December 31, 2010, based on criteria established in Internal Control—Integrated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Credicorp’s internal control over financial reporting based on our audit.</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2010, based on the COSO criteria.</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8" w:name="page119"/>
    <w:bookmarkEnd w:id="118"/>
    <w:p>
      <w:pPr>
        <w:ind w:right="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of America), the 2010 consolidated financial statements of Credicorp and our report dated April 27, 2011,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MEDINA, ZALDÍVAR, PAREDES &amp; ASOCIADOS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CRISTIAN EMMERICH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11061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234"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our internal control over financial reporting that have materially affected, or are likely to materially affect, internal control over financial reporting.</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15T.</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its session held on March 31, 2009, our Board of Directors elected Germán Suárez and Reynaldo Llosa as members of the Audit Committee. The Board elected Mr. Reynaldo Llosa as the Chairman, Mr. Suárez as the Audit Committee Financial Expert, as that term is defined in the instructions to Item 16A of Form 20-F, and Mr. Benedicto Cigüeñas, Director of BCP as an advisor. Later on in its session held on October 27, 2010 our Board of Directors appointed Mr. Raimundo Morales as a new member of the Audit Committee.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also determined that Mr. Llosa, Mr. Suárez and Mr. Morales are “independent” as defined in Rule 10A-3 under the Exchange Act and in Section 303A.02 of The NYSE Listed Company Manual. Mr. Suárez, our Audit Committee Financial Expert is an economist, and received his Masters degree in economics from Columbia University. Mr. Suárez became a director on March 31, 2005. Mr. Suárez was President and Chairman of the Board of Banco Central de Reserva del Perú from 1992 to 2001, and serves as director on the board of directors of various other companies, among which is Compañía de Minas Buenaventura S.A.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our Board of Directors, including our chief executive officer, chief financial officer, and our other principal executive officers, as well as to all other employees. In addition, we have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applicable to employees with financial management responsibilities. Our code of ethics and code of ethics for professionals with financial responsibility are available on the corporate governance section of our web site at http://www.credicorpnet.com.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sets forth for each of the years indicated the fees paid to our independent auditor, Medina, Zaldívar, Paredes &amp; Asociados, member of Ernst &amp; Young Global, for the audit of our financial statements for the years ended December 31, 2008, 2009, and 2010, respectively. The Audit Committee recommends the appointment of the independent auditor every fiscal year, which is done at the Annual General Shareholders’ Meeting.</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our Annual General Shareholders’ Meeting held on March 31, 2011, Medina, Zaldívar, Paredes y Asociados was reelected as our external auditor for the financial year 2011. This designation was made in accordance with the proposal and recommendation of the Audit Committee and authorization by the Board of Directors. The Board has also designated the duty of approving the auditor’s fees to the Audit Committee.</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400"/>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46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ind w:left="420"/>
              <w:spacing w:after="0"/>
              <w:rPr>
                <w:sz w:val="20"/>
                <w:szCs w:val="20"/>
                <w:color w:val="auto"/>
              </w:rPr>
            </w:pPr>
            <w:r>
              <w:rPr>
                <w:rFonts w:ascii="Arial" w:cs="Arial" w:eastAsia="Arial" w:hAnsi="Arial"/>
                <w:sz w:val="18"/>
                <w:szCs w:val="18"/>
                <w:i w:val="1"/>
                <w:iCs w:val="1"/>
                <w:color w:val="auto"/>
              </w:rPr>
              <w:t>(U.S. Dollars in thousands)</w:t>
            </w: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2,005</w:t>
            </w: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2,436</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Audit – Related</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420" w:type="dxa"/>
            <w:vAlign w:val="bottom"/>
            <w:shd w:val="clear" w:color="auto" w:fill="CCFFCC"/>
          </w:tcPr>
          <w:p>
            <w:pPr>
              <w:spacing w:after="0"/>
              <w:rPr>
                <w:sz w:val="18"/>
                <w:szCs w:val="18"/>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All Other</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2,239</w:t>
            </w:r>
          </w:p>
        </w:tc>
        <w:tc>
          <w:tcPr>
            <w:tcW w:w="4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2,792</w:t>
            </w:r>
          </w:p>
        </w:tc>
        <w:tc>
          <w:tcPr>
            <w:tcW w:w="6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reviewing Credicorp’s consolidated financial statements and its subsidiaries, (ii) establishing</w:t>
      </w:r>
      <w:r>
        <w:rPr>
          <w:rFonts w:ascii="Arial" w:cs="Arial" w:eastAsia="Arial" w:hAnsi="Arial"/>
          <w:sz w:val="17"/>
          <w:szCs w:val="17"/>
          <w:i w:val="1"/>
          <w:iCs w:val="1"/>
          <w:color w:val="auto"/>
        </w:rPr>
        <w:t xml:space="preserve"> </w:t>
      </w:r>
      <w:r>
        <w:rPr>
          <w:rFonts w:ascii="Arial" w:cs="Arial" w:eastAsia="Arial" w:hAnsi="Arial"/>
          <w:sz w:val="17"/>
          <w:szCs w:val="17"/>
          <w:color w:val="auto"/>
        </w:rPr>
        <w:t>the procedures that the independent auditor needs to perform in order to form an opinion about Credicorp’s consolidated financial statements, and (iii) complying with the statutory requirements applicable to Credicorp’s subsidiaries. Audit fees also include expenses related to the audit work in connection with reviews of interim financial information and comfort letter issued. All fees were approved by the Audit Committee.</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relate to services that are similar to the execution of an audit or a review of Credicorp’s financial statements and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traditionally performed by the independent auditor. Such audit-related services include: assistance in the understanding of new accounting and financial rules established by regulatory entities; audit related procedures on accounting matters; due diligence; and special audit reviews of internal control procedures, certain training courses and permitted advisory services related with IT systems. All fees were approved by the Audit Committee.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consisting principally of tax compliance and advisory services approved by the Audit Committee.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mainly included expenses related to derivative operations and consultancy in 2009, and diagnosis and identification of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operational controls in the Bank's revenue cycle processes in 2010. The increase in operational controls-related expenses accounts for the major increase in the fees during 2010, and will continue during 2011. All fees were approved by the Audit Committee.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is regularly informed about the services provided through the general approval process.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The Audit Committee has set a limit on tax fees and all other fees, which cannot be greater than 35 percent of total auditor’s fees during a fiscal year. The Audit Committee may change this limit based upon our corporate needs and the complexity of the service provided by the independent auditor. When considering granting any type of approval, the Audit Committee considers whether the requested services are consistent with the SEC’s rules regarding the independence of the independent auditors.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our subsidiaries or affiliates, and services associated with the presentation of documents to the SEC or other documents published in relation to the trading of our shares.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 rules promulgated by the SEC, our audit committee requires that all tax services provided by the independent auditors be subject to its approval.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2010 our affiliates, Prima AFP, Atlantic Security Bank, Credifondo, and Credibolsa did make purchases in open-market transactions on behalf of our clients as part of their core businesses. Furthermore, the following purchases were made to cover the 2010’s supplementary senior management remuneration plan, as explain in notes 3(w)(ii) and 18(b)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128905</wp:posOffset>
            </wp:positionV>
            <wp:extent cx="1628775" cy="7715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28775" cy="771525"/>
                    </a:xfrm>
                    <a:prstGeom prst="rect">
                      <a:avLst/>
                    </a:prstGeom>
                    <a:noFill/>
                  </pic:spPr>
                </pic:pic>
              </a:graphicData>
            </a:graphic>
          </wp:anchor>
        </w:drawing>
      </w:r>
    </w:p>
    <w:p>
      <w:pPr>
        <w:spacing w:after="0" w:line="183" w:lineRule="exact"/>
        <w:rPr>
          <w:sz w:val="20"/>
          <w:szCs w:val="20"/>
          <w:color w:val="auto"/>
        </w:rPr>
      </w:pPr>
    </w:p>
    <w:tbl>
      <w:tblPr>
        <w:tblLayout w:type="fixed"/>
        <w:tblInd w:w="670" w:type="dxa"/>
        <w:tblCellMar>
          <w:top w:w="0" w:type="dxa"/>
          <w:left w:w="0" w:type="dxa"/>
          <w:bottom w:w="0" w:type="dxa"/>
          <w:right w:w="0" w:type="dxa"/>
        </w:tblCellMar>
      </w:tblPr>
      <w:tr>
        <w:trPr>
          <w:trHeight w:val="242"/>
        </w:trPr>
        <w:tc>
          <w:tcPr>
            <w:tcW w:w="1420" w:type="dxa"/>
            <w:vAlign w:val="bottom"/>
            <w:tcBorders>
              <w:top w:val="single" w:sz="8" w:color="auto"/>
              <w:left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 Total Number of Shares</w:t>
            </w:r>
          </w:p>
        </w:tc>
        <w:tc>
          <w:tcPr>
            <w:tcW w:w="2520" w:type="dxa"/>
            <w:vAlign w:val="bottom"/>
          </w:tcPr>
          <w:p>
            <w:pPr>
              <w:jc w:val="center"/>
              <w:spacing w:after="0"/>
              <w:rPr>
                <w:sz w:val="20"/>
                <w:szCs w:val="20"/>
                <w:color w:val="auto"/>
              </w:rPr>
            </w:pPr>
            <w:r>
              <w:rPr>
                <w:rFonts w:ascii="Arial" w:cs="Arial" w:eastAsia="Arial" w:hAnsi="Arial"/>
                <w:sz w:val="18"/>
                <w:szCs w:val="18"/>
                <w:color w:val="auto"/>
                <w:w w:val="94"/>
              </w:rPr>
              <w:t>(d) Maximum Number (or</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 Total Number of</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 Average Price</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(or Units) Purchased as</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Approximate Dollar Value) of</w:t>
            </w:r>
          </w:p>
        </w:tc>
      </w:tr>
      <w:tr>
        <w:trPr>
          <w:trHeight w:val="216"/>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Period</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Shares (or Units)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Paid per Share (or</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Part of Publicly</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Shares ( or Units) that May Yet</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Purchased (1)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Units)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Announced Plans or</w:t>
            </w: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Be Purchased Under the Plans or</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Programs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Programs</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r>
      <w:tr>
        <w:trPr>
          <w:trHeight w:val="365"/>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2009</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227,000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US$50.61</w:t>
            </w:r>
          </w:p>
        </w:tc>
        <w:tc>
          <w:tcPr>
            <w:tcW w:w="204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r>
      <w:tr>
        <w:trPr>
          <w:trHeight w:val="156"/>
        </w:trPr>
        <w:tc>
          <w:tcPr>
            <w:tcW w:w="1420" w:type="dxa"/>
            <w:vAlign w:val="bottom"/>
            <w:tcBorders>
              <w:left w:val="single" w:sz="8" w:color="auto"/>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r>
      <w:tr>
        <w:trPr>
          <w:trHeight w:val="365"/>
        </w:trPr>
        <w:tc>
          <w:tcPr>
            <w:tcW w:w="1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March 2010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171,022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US$85.94</w:t>
            </w:r>
          </w:p>
        </w:tc>
        <w:tc>
          <w:tcPr>
            <w:tcW w:w="204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r>
      <w:tr>
        <w:trPr>
          <w:trHeight w:val="156"/>
        </w:trPr>
        <w:tc>
          <w:tcPr>
            <w:tcW w:w="1420" w:type="dxa"/>
            <w:vAlign w:val="bottom"/>
            <w:tcBorders>
              <w:left w:val="single" w:sz="8" w:color="auto"/>
              <w:bottom w:val="single" w:sz="8" w:color="auto"/>
              <w:right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2520" w:type="dxa"/>
            <w:vAlign w:val="bottom"/>
            <w:tcBorders>
              <w:bottom w:val="single" w:sz="8" w:color="auto"/>
              <w:right w:val="single" w:sz="8" w:color="auto"/>
            </w:tcBorders>
          </w:tcPr>
          <w:p>
            <w:pPr>
              <w:spacing w:after="0"/>
              <w:rPr>
                <w:sz w:val="13"/>
                <w:szCs w:val="13"/>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5"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New York Stock Exchange –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NYSE’s corporate governance rules, codified in Section 303A of the NYSE’s Listed Company Manual, apply, with certain limited exceptions, in full to companies listing common equity securities. Among the corporate governance issues addressed by Section 303A are the following:</w:t>
      </w:r>
    </w:p>
    <w:p>
      <w:pPr>
        <w:spacing w:after="0" w:line="147"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role of non-management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Nominating/corporate governance committee;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Compensation committees;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Audit committees;</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Disclosure of corporate governance guidelines, including those in relation to (i) director qualification standards, (ii) director responsibilities, (iii) director access to management and, as necessary and appropriate, independent advisors, (iv) director compensation, (v) director orientation and continuing education, (vi) management succession and (vii) annual performance evaluation of the Board of Directors;</w:t>
      </w:r>
    </w:p>
    <w:p>
      <w:pPr>
        <w:spacing w:after="0" w:line="165"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Code of business conduct and ethics for directors, officers and employees addressing, at a minimum, (i) conflicts of interest, (ii) corporate opportunities, (iii) confidentiality, (iv) fair dealing, (v) protection and proper use of company assets, (v) compliance with laws, rules and regulations (including insider trading laws) and (vi) encouraging the reporting of any illegal or unethical behavior;</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1" w:name="page122"/>
    <w:bookmarkEnd w:id="121"/>
    <w:p>
      <w:pPr>
        <w:ind w:left="980" w:hanging="324"/>
        <w:spacing w:after="0" w:line="277" w:lineRule="auto"/>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Disclosure by foreign private issuers of differences between their corporate governance practices and those of U.S. domestic companies under NYSE’s listing standards;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Certification of compliance with the NYSE’s corporate governance standards and disclosure of violations of Section 303A;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NYSE actions resulting from violations of the NYSE’s listing standards.</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Bermuda Law – Corporate Governance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We are a company incorporated under the laws of Bermuda and are subject to Bermuda laws related to corporate governance. Under Bermuda law,</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no requirements with respect to the independence of our board of directors, meetings of non-management directors, the establishment and composition of certain committees or the adoption and disclosure of corporate governance guidelines or codes of business conduct and ethics. Certain Bermuda common law and statutory provisions, however, relate to duties and obligations of a company and its directors that are similar to some of the duties and obligations arising from the provisions of Section 303A.</w:t>
      </w:r>
    </w:p>
    <w:p>
      <w:pPr>
        <w:spacing w:after="0" w:line="186"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Fiduciary Duties and Duties of Skill and Care Under Bermuda Law</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section 97(1) of the Companies Act 1981 of Bermuda, as amended (also referred to as the Companies Act), every director and officer of a company must act honestly and in good faith with a view to the best interests of the company (often referred to as a “fiduciary duty”) and must exercise the care, diligence and skill that a reasonably prudent person would exercise in comparable circumstances (often referred to as a “duty of skill and care”).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Fiduciary Duty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fiduciary duty of directors has four aspects which may be briefly summarized as follows: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duty to act honestly and in good faith. A director has a duty to act honestly and in good faith in what he considers are the best interests of the company and not for any collateral purpose. The courts allow the director wide discretion in determining this, interfering only if no reasonable director could have believed that a course of action was in the best interests of the company. However, a director acting honestly, but not in the best interests of the company, is in breach of such duty.</w:t>
      </w:r>
    </w:p>
    <w:p>
      <w:pPr>
        <w:spacing w:after="0" w:line="186"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duty to exercise powers for a proper purpose. Directors must act within the powers set out in the company’s memorandum of association and bye-laws and exercise their powers in the company’s interests and for the purposes for which those powers were conferred. Even if the directors are acting in good faith in the interests of the company as a whole, they must still use their powers for the purposes for which they were intended. For example, in general directors are not allowed to exercise their powers in such a way as to prevent a majority of the members from exercising their rights.</w:t>
      </w:r>
    </w:p>
    <w:p>
      <w:pPr>
        <w:spacing w:after="0" w:line="188"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 duty to avoid conflicts of interest. A director must not put himself in a position where there is an actual or potential conflict between a personal interest and his duty to the company. However, a director may enter into a contract where a conflict of interest might arise if the bye-laws allow it or the company gives its approval in a general meeting. Our bye-laws do not prohibit a director from entering into a contract where a conflict of interest may arise, but they do prohibit a director from voting with respect to any contract or proposed contract or arrangement in which such director is interested or with which such director has a conflict of interest. In addition, section 97(4) of the Companies Act requires our directors and officers to disclose at the first opportunity any interest in a material contract, proposed material contract or person that is a party to a material contract or proposed material contract with us or any of our subsidiaries.</w:t>
      </w:r>
    </w:p>
    <w:p>
      <w:pPr>
        <w:spacing w:after="0" w:line="177"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duty not to appropriate, divert or personally profit from corporate opportunities. Unless the bye-laws specifically provide otherwise, a director’s fiduciary position precludes him from appropriating, diverting or taking a personal profit from any opportunities that result from the directorship. Our bye-laws do provide an exception to this rule. They provide that any director, any director’s firm or partner, or any company with which any director is associated may act for us in a professional capacity. Such director, firm, partner or company will be entitled to compensation for professional services as if the director were not a member of our board of directors. However, such director, firm, partner or company may not act as our auditor.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Duty of Skill and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duty of skill and care has three aspects which may be briefly summarized as follows:</w:t>
      </w:r>
    </w:p>
    <w:p>
      <w:pPr>
        <w:spacing w:after="0" w:line="225" w:lineRule="exact"/>
        <w:rPr>
          <w:sz w:val="20"/>
          <w:szCs w:val="20"/>
          <w:color w:val="auto"/>
        </w:rPr>
      </w:pPr>
    </w:p>
    <w:p>
      <w:pPr>
        <w:ind w:left="980" w:right="20" w:hanging="324"/>
        <w:spacing w:after="0" w:line="277" w:lineRule="auto"/>
        <w:tabs>
          <w:tab w:leader="none" w:pos="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Degree of Skill. A director need not exhibit in the performance of his duties a greater degree of skill than may reasonably be expected from a person of like knowledge and experience.</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2" w:name="page123"/>
    <w:bookmarkEnd w:id="122"/>
    <w:p>
      <w:pPr>
        <w:jc w:val="both"/>
        <w:ind w:firstLine="648"/>
        <w:spacing w:after="0" w:line="259" w:lineRule="auto"/>
        <w:rPr>
          <w:sz w:val="20"/>
          <w:szCs w:val="20"/>
          <w:color w:val="auto"/>
        </w:rPr>
      </w:pPr>
      <w:r>
        <w:rPr>
          <w:rFonts w:ascii="Arial" w:cs="Arial" w:eastAsia="Arial" w:hAnsi="Arial"/>
          <w:sz w:val="18"/>
          <w:szCs w:val="18"/>
          <w:color w:val="auto"/>
        </w:rPr>
        <w:t>A director is not expected to exercise a level of skill he does not have. The level of skill required of a director is subjective, in that the director is not expected, merely by virtue of the office, to possess any particular skills. Performance must be judged by the way the director applies any skills which he actually has. However, directors ought to acquire and maintain a sufficient knowledge and understanding of the company’s business to enable them to properly discharge their duties as directors.</w:t>
      </w:r>
    </w:p>
    <w:p>
      <w:pPr>
        <w:spacing w:after="0" w:line="187" w:lineRule="exact"/>
        <w:rPr>
          <w:sz w:val="20"/>
          <w:szCs w:val="20"/>
          <w:color w:val="auto"/>
        </w:rPr>
      </w:pPr>
    </w:p>
    <w:p>
      <w:pPr>
        <w:jc w:val="both"/>
        <w:ind w:left="980" w:hanging="324"/>
        <w:spacing w:after="0" w:line="259" w:lineRule="auto"/>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Attention to the Business. A director must diligently attend to the affairs of the company. In the performance of this duty, a director must at a minimum display the reasonable care an ordinary person would be expected to take in the same circumstances on his own behalf. Mere errors of judgment have been held not to breach the duty of skill and care. A director, as such, is not bound to give continuous attention to the affairs of the company, as his or her duties are of an intermittent nature.</w:t>
      </w:r>
    </w:p>
    <w:p>
      <w:pPr>
        <w:spacing w:after="0" w:line="186"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Reliance on Others. A director is not liable for the acts of co-directors or other company officers solely by virtue of the position. A director is entitled to rely on his co-directors or company officers as well as subordinates who are expressly put in charge of attending to the detail of management, provided such reliance is honest and reasonable (although a director cannot absolve himself entirely of responsibility by delegation to others). As a general rule, before delegating responsibility to others, the directors in question should satisfy themselves that the delegates have the requisite skills to discharge the functions delegated to them. In addition, the directors must ensure that there is set up an adequate system of monitoring such delegates (</w:t>
      </w:r>
      <w:r>
        <w:rPr>
          <w:rFonts w:ascii="Arial" w:cs="Arial" w:eastAsia="Arial" w:hAnsi="Arial"/>
          <w:sz w:val="17"/>
          <w:szCs w:val="17"/>
          <w:i w:val="1"/>
          <w:iCs w:val="1"/>
          <w:color w:val="auto"/>
        </w:rPr>
        <w:t>e.g.</w:t>
      </w:r>
      <w:r>
        <w:rPr>
          <w:rFonts w:ascii="Arial" w:cs="Arial" w:eastAsia="Arial" w:hAnsi="Arial"/>
          <w:sz w:val="17"/>
          <w:szCs w:val="17"/>
          <w:color w:val="auto"/>
        </w:rPr>
        <w:t>, managers). The directors must, on a regular basis, ensure that their delegates have fulfilled their obligations. The directors should require a regular flow of information from the delegates to ensure that they are carrying out their duties satisfactorily. In addition, section 97(5A) of the Companies Act provides that a director shall not have breached the fiduciary duty or duty of skill and care required by section 97(1) if he relies in good faith upon financial statements of the company represented to him by another director or officer of the company or a report of an attorney, accountant, engineer, appraiser or other person whose profession lends credibility to a statement made by him.</w:t>
      </w:r>
    </w:p>
    <w:p>
      <w:pPr>
        <w:spacing w:after="0" w:line="206" w:lineRule="exact"/>
        <w:rPr>
          <w:sz w:val="20"/>
          <w:szCs w:val="20"/>
          <w:color w:val="auto"/>
        </w:rPr>
      </w:pPr>
    </w:p>
    <w:p>
      <w:pPr>
        <w:ind w:left="1300" w:hanging="644"/>
        <w:spacing w:after="0"/>
        <w:tabs>
          <w:tab w:leader="none" w:pos="1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Other Statutory Duties and Obligations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Companies Act imposes certain specific duties and obligations on companies and directors, both directly and indirectly, including duties and obligations with respect to (i) loans to directors and related persons, (ii) limits on indemnities for directors and officers and (iii) the keeping of proper books of account.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to Directors and Related Persons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not lawful for a company to make a loan or to enter into a guarantee or provide security in connection with a loan to a director or certain persons related to a director without the consent of the members of the company holding in the aggregate not less than 90% of the total voting rights of all the members having the right to vote at any meeting of the members of the company, except in certain specific circumstances.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Limits on Indemnity for Directors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with respect to any negligence, default, breach of duty or breach of trust. However, this rule does not apply in cases where such liability arises from fraud or dishonesty of which such director, officer or auditor may be guilty in relation to the company or any of its subsidiaries. Any provision, whether contained in the bye-laws of a company or in any contract or arrangement between the company and one of its directors which would exempt such director from, or indemnify him against, any liability that would otherwise attach to him with respect to his fraud or dishonesty in relation to the company will be void.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In the event that an allegation of fraud or dishonesty is made out, the director is obliged to disgorge any money provided for his defense.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Books of Account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duty of the directors to cause to be kept proper books of account with respect to all sums of money received and expended by the company and the matters with respect to which the receipts and expenditures take place, all sales and purchases by the company, and the assets and liabilities of the company.</w:t>
      </w:r>
    </w:p>
    <w:p>
      <w:pPr>
        <w:spacing w:after="0" w:line="204"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Peruvian Law – Corporate Governance</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Although we are a holding company whose principal subsidiaries (Grupo Credito, BCP, PPS and PV) are incorporated under and subject to the laws of Peru, we are registered in Peru as a foreign issuer and are consequently only subject to Peruvian regulations applicable to foreign issuers. There are no corporate governance provisions under Peruvian law applicable to us that are similar to the provisions of Section 303A.</w:t>
      </w:r>
    </w:p>
    <w:p>
      <w:pPr>
        <w:spacing w:after="0" w:line="341"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900" w:type="dxa"/>
            <w:vAlign w:val="bottom"/>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900" w:type="dxa"/>
            <w:vAlign w:val="bottom"/>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900" w:type="dxa"/>
            <w:vAlign w:val="bottom"/>
            <w:shd w:val="clear" w:color="auto" w:fill="CCFFCC"/>
          </w:tcPr>
          <w:p>
            <w:pPr>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tcPr>
          <w:p>
            <w:pPr>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as of December 31, 2010 and 2009 together with the Report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4" w:name="page125"/>
    <w:bookmarkEnd w:id="124"/>
    <w:p>
      <w:pPr>
        <w:ind w:left="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1249045</wp:posOffset>
            </wp:positionH>
            <wp:positionV relativeFrom="page">
              <wp:posOffset>322580</wp:posOffset>
            </wp:positionV>
            <wp:extent cx="5064125" cy="7156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64125" cy="715645"/>
                    </a:xfrm>
                    <a:prstGeom prst="rect">
                      <a:avLst/>
                    </a:prstGeom>
                    <a:noFill/>
                  </pic:spPr>
                </pic:pic>
              </a:graphicData>
            </a:graphic>
          </wp:anchor>
        </w:drawing>
        <w:t>Credicorp Ltd. and Subsidiaries</w:t>
      </w:r>
    </w:p>
    <w:p>
      <w:pPr>
        <w:spacing w:after="0" w:line="27" w:lineRule="exact"/>
        <w:rPr>
          <w:sz w:val="20"/>
          <w:szCs w:val="20"/>
          <w:color w:val="auto"/>
        </w:rPr>
      </w:pPr>
    </w:p>
    <w:p>
      <w:pPr>
        <w:ind w:left="640" w:right="2399"/>
        <w:spacing w:after="0" w:line="290" w:lineRule="auto"/>
        <w:rPr>
          <w:sz w:val="20"/>
          <w:szCs w:val="20"/>
          <w:color w:val="auto"/>
        </w:rPr>
      </w:pPr>
      <w:r>
        <w:rPr>
          <w:rFonts w:ascii="Arial" w:cs="Arial" w:eastAsia="Arial" w:hAnsi="Arial"/>
          <w:sz w:val="17"/>
          <w:szCs w:val="17"/>
          <w:color w:val="auto"/>
        </w:rPr>
        <w:t>Consolidated financial statements as of December 31, 2010 and 2009 together with the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1052830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266065</wp:posOffset>
            </wp:positionV>
            <wp:extent cx="2015490" cy="394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15490" cy="39433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statements as of December 31, 2010 and 2009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6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3620" w:type="dxa"/>
            <w:vAlign w:val="bottom"/>
          </w:tcPr>
          <w:p>
            <w:pPr>
              <w:jc w:val="right"/>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3620" w:type="dxa"/>
            <w:vAlign w:val="bottom"/>
          </w:tcPr>
          <w:p>
            <w:pPr>
              <w:jc w:val="right"/>
              <w:spacing w:after="0"/>
              <w:rPr>
                <w:sz w:val="20"/>
                <w:szCs w:val="20"/>
                <w:color w:val="auto"/>
              </w:rPr>
            </w:pPr>
            <w:r>
              <w:rPr>
                <w:rFonts w:ascii="Arial" w:cs="Arial" w:eastAsia="Arial" w:hAnsi="Arial"/>
                <w:sz w:val="18"/>
                <w:szCs w:val="18"/>
                <w:color w:val="auto"/>
              </w:rPr>
              <w:t>F-9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3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3620" w:type="dxa"/>
            <w:vAlign w:val="bottom"/>
          </w:tcPr>
          <w:p>
            <w:pPr>
              <w:jc w:val="right"/>
              <w:spacing w:after="0"/>
              <w:rPr>
                <w:sz w:val="20"/>
                <w:szCs w:val="20"/>
                <w:color w:val="auto"/>
              </w:rPr>
            </w:pPr>
            <w:r>
              <w:rPr>
                <w:rFonts w:ascii="Arial" w:cs="Arial" w:eastAsia="Arial" w:hAnsi="Arial"/>
                <w:sz w:val="18"/>
                <w:szCs w:val="18"/>
                <w:color w:val="auto"/>
              </w:rPr>
              <w:t>F-12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7800" w:type="dxa"/>
            <w:vAlign w:val="bottom"/>
            <w:gridSpan w:val="2"/>
          </w:tcPr>
          <w:p>
            <w:pPr>
              <w:spacing w:after="0"/>
              <w:rPr>
                <w:sz w:val="20"/>
                <w:szCs w:val="20"/>
                <w:color w:val="auto"/>
              </w:rPr>
            </w:pPr>
            <w:r>
              <w:rPr>
                <w:rFonts w:ascii="Arial" w:cs="Arial" w:eastAsia="Arial" w:hAnsi="Arial"/>
                <w:sz w:val="18"/>
                <w:szCs w:val="18"/>
                <w:color w:val="auto"/>
              </w:rPr>
              <w:t>F-2</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778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5728335" cy="1080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72833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2010 and 2009, and the related consolidated statements of income, comprehensive income, shareholders’ equity, and cash flows for each of the three years in the period ended December 31, 2010. These consolidated financial statements are the responsibility of the Credicorp’s management. Our responsibility is to express an opinion on these consolidated financial statements based on our audits.</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Credicorp and subsidiaries at December 31, 2010 and 2009 and the consolidated results of their operations and their cash flows for each of the three years in the period ended December 31, 2010, in conformity with International Financial Reporting Standards as issued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102235</wp:posOffset>
            </wp:positionV>
            <wp:extent cx="351790" cy="514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1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Inscrita en la partida 11396556 del Registro de</w:t>
            </w:r>
          </w:p>
        </w:tc>
        <w:tc>
          <w:tcPr>
            <w:tcW w:w="642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Personas Jurídicas de Lima y Callao</w:t>
            </w:r>
          </w:p>
        </w:tc>
        <w:tc>
          <w:tcPr>
            <w:tcW w:w="6420" w:type="dxa"/>
            <w:vAlign w:val="bottom"/>
          </w:tcPr>
          <w:p>
            <w:pPr>
              <w:ind w:left="1640"/>
              <w:spacing w:after="0"/>
              <w:rPr>
                <w:sz w:val="20"/>
                <w:szCs w:val="20"/>
                <w:color w:val="auto"/>
              </w:rPr>
            </w:pPr>
            <w:r>
              <w:rPr>
                <w:rFonts w:ascii="Arial" w:cs="Arial" w:eastAsia="Arial" w:hAnsi="Arial"/>
                <w:sz w:val="18"/>
                <w:szCs w:val="18"/>
                <w:color w:val="auto"/>
              </w:rPr>
              <w:t>Miembro de Ernst &amp; Young Global</w:t>
            </w:r>
          </w:p>
        </w:tc>
      </w:tr>
      <w:tr>
        <w:trPr>
          <w:trHeight w:val="581"/>
        </w:trPr>
        <w:tc>
          <w:tcPr>
            <w:tcW w:w="5000" w:type="dxa"/>
            <w:vAlign w:val="bottom"/>
          </w:tcPr>
          <w:p>
            <w:pPr>
              <w:spacing w:after="0"/>
              <w:rPr>
                <w:sz w:val="20"/>
                <w:szCs w:val="20"/>
                <w:color w:val="auto"/>
              </w:rPr>
            </w:pPr>
            <w:r>
              <w:rPr>
                <w:rFonts w:ascii="Arial" w:cs="Arial" w:eastAsia="Arial" w:hAnsi="Arial"/>
                <w:sz w:val="18"/>
                <w:szCs w:val="18"/>
                <w:color w:val="auto"/>
              </w:rPr>
              <w:t>F-3</w:t>
            </w:r>
          </w:p>
        </w:tc>
        <w:tc>
          <w:tcPr>
            <w:tcW w:w="6420" w:type="dxa"/>
            <w:vAlign w:val="bottom"/>
          </w:tcPr>
          <w:p>
            <w:pPr>
              <w:spacing w:after="0"/>
              <w:rPr>
                <w:sz w:val="24"/>
                <w:szCs w:val="24"/>
                <w:color w:val="auto"/>
              </w:rPr>
            </w:pPr>
          </w:p>
        </w:tc>
      </w:tr>
      <w:tr>
        <w:trPr>
          <w:trHeight w:val="118"/>
        </w:trPr>
        <w:tc>
          <w:tcPr>
            <w:tcW w:w="5000" w:type="dxa"/>
            <w:vAlign w:val="bottom"/>
            <w:tcBorders>
              <w:bottom w:val="single" w:sz="8" w:color="808080"/>
            </w:tcBorders>
          </w:tcPr>
          <w:p>
            <w:pPr>
              <w:spacing w:after="0"/>
              <w:rPr>
                <w:sz w:val="10"/>
                <w:szCs w:val="10"/>
                <w:color w:val="auto"/>
              </w:rPr>
            </w:pPr>
          </w:p>
        </w:tc>
        <w:tc>
          <w:tcPr>
            <w:tcW w:w="6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3919220" cy="1200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3919220" cy="120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of America), Credicorp’s internal control over financial reporting as of December 31, 2010, based on criteria established in Internal Control-Integrated Framework issued by the Committee of Sponsoring Organizations of the Treadway Commission and our report dated April 27, 2011,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188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78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Note</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780" w:type="dxa"/>
            <w:vAlign w:val="bottom"/>
          </w:tcPr>
          <w:p>
            <w:pPr>
              <w:jc w:val="center"/>
              <w:ind w:left="1310"/>
              <w:spacing w:after="0"/>
              <w:rPr>
                <w:sz w:val="20"/>
                <w:szCs w:val="20"/>
                <w:color w:val="auto"/>
              </w:rPr>
            </w:pPr>
            <w:r>
              <w:rPr>
                <w:rFonts w:ascii="Arial" w:cs="Arial" w:eastAsia="Arial" w:hAnsi="Arial"/>
                <w:sz w:val="18"/>
                <w:szCs w:val="18"/>
                <w:color w:val="auto"/>
                <w:w w:val="99"/>
              </w:rPr>
              <w:t>4</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w:t>
            </w:r>
          </w:p>
        </w:tc>
        <w:tc>
          <w:tcPr>
            <w:tcW w:w="27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1,624,377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bearing</w:t>
            </w:r>
          </w:p>
        </w:tc>
        <w:tc>
          <w:tcPr>
            <w:tcW w:w="27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6,958,478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18"/>
                <w:szCs w:val="18"/>
                <w:color w:val="auto"/>
              </w:rPr>
            </w:pPr>
          </w:p>
        </w:tc>
        <w:tc>
          <w:tcPr>
            <w:tcW w:w="27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8,582,855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27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Trading securities</w:t>
            </w:r>
          </w:p>
        </w:tc>
        <w:tc>
          <w:tcPr>
            <w:tcW w:w="27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115,568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2780" w:type="dxa"/>
            <w:vAlign w:val="bottom"/>
            <w:shd w:val="clear" w:color="auto" w:fill="CCFFCC"/>
          </w:tcPr>
          <w:p>
            <w:pPr>
              <w:jc w:val="center"/>
              <w:ind w:left="1310"/>
              <w:spacing w:after="0"/>
              <w:rPr>
                <w:sz w:val="20"/>
                <w:szCs w:val="20"/>
                <w:color w:val="auto"/>
              </w:rPr>
            </w:pPr>
            <w:r>
              <w:rPr>
                <w:rFonts w:ascii="Arial" w:cs="Arial" w:eastAsia="Arial" w:hAnsi="Arial"/>
                <w:sz w:val="18"/>
                <w:szCs w:val="18"/>
                <w:color w:val="auto"/>
                <w:w w:val="99"/>
              </w:rPr>
              <w:t>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3,768,248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5,079,606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CFFCC"/>
          </w:tcPr>
          <w:p>
            <w:pPr>
              <w:spacing w:after="0"/>
              <w:rPr>
                <w:sz w:val="2"/>
                <w:szCs w:val="2"/>
                <w:color w:val="auto"/>
              </w:rPr>
            </w:pPr>
          </w:p>
        </w:tc>
        <w:tc>
          <w:tcPr>
            <w:tcW w:w="27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3,883,816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5,150,380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2780" w:type="dxa"/>
            <w:vAlign w:val="bottom"/>
            <w:shd w:val="clear" w:color="auto" w:fill="CCFFCC"/>
          </w:tcPr>
          <w:p>
            <w:pPr>
              <w:jc w:val="center"/>
              <w:ind w:left="1310"/>
              <w:spacing w:after="0"/>
              <w:rPr>
                <w:sz w:val="20"/>
                <w:szCs w:val="20"/>
                <w:color w:val="auto"/>
              </w:rPr>
            </w:pPr>
            <w:r>
              <w:rPr>
                <w:rFonts w:ascii="Arial" w:cs="Arial" w:eastAsia="Arial" w:hAnsi="Arial"/>
                <w:sz w:val="18"/>
                <w:szCs w:val="18"/>
                <w:color w:val="auto"/>
                <w:w w:val="99"/>
              </w:rPr>
              <w:t>6</w:t>
            </w: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Loans, net of unearned income</w:t>
            </w:r>
          </w:p>
        </w:tc>
        <w:tc>
          <w:tcPr>
            <w:tcW w:w="27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14,375,358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11,585,635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27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(415,703)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(354,355)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shd w:val="clear" w:color="auto" w:fill="CCFFCC"/>
          </w:tcPr>
          <w:p>
            <w:pPr>
              <w:spacing w:after="0"/>
              <w:rPr>
                <w:sz w:val="2"/>
                <w:szCs w:val="2"/>
                <w:color w:val="auto"/>
              </w:rPr>
            </w:pPr>
          </w:p>
        </w:tc>
        <w:tc>
          <w:tcPr>
            <w:tcW w:w="27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13,959,655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11,231,280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shd w:val="clear" w:color="auto" w:fill="CCFFCC"/>
          </w:tcPr>
          <w:p>
            <w:pPr>
              <w:spacing w:after="0"/>
              <w:rPr>
                <w:sz w:val="18"/>
                <w:szCs w:val="18"/>
                <w:color w:val="auto"/>
              </w:rPr>
            </w:pPr>
          </w:p>
        </w:tc>
        <w:tc>
          <w:tcPr>
            <w:tcW w:w="27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2780" w:type="dxa"/>
            <w:vAlign w:val="bottom"/>
          </w:tcPr>
          <w:p>
            <w:pPr>
              <w:jc w:val="center"/>
              <w:ind w:left="1310"/>
              <w:spacing w:after="0"/>
              <w:rPr>
                <w:sz w:val="20"/>
                <w:szCs w:val="20"/>
                <w:color w:val="auto"/>
              </w:rPr>
            </w:pPr>
            <w:r>
              <w:rPr>
                <w:rFonts w:ascii="Arial" w:cs="Arial" w:eastAsia="Arial" w:hAnsi="Arial"/>
                <w:sz w:val="18"/>
                <w:szCs w:val="18"/>
                <w:color w:val="auto"/>
                <w:w w:val="99"/>
              </w:rPr>
              <w:t>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179,055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2780" w:type="dxa"/>
            <w:vAlign w:val="bottom"/>
            <w:shd w:val="clear" w:color="auto" w:fill="CCFFCC"/>
          </w:tcPr>
          <w:p>
            <w:pPr>
              <w:jc w:val="center"/>
              <w:ind w:left="1310"/>
              <w:spacing w:after="0"/>
              <w:rPr>
                <w:sz w:val="20"/>
                <w:szCs w:val="20"/>
                <w:color w:val="auto"/>
              </w:rPr>
            </w:pPr>
            <w:r>
              <w:rPr>
                <w:rFonts w:ascii="Arial" w:cs="Arial" w:eastAsia="Arial" w:hAnsi="Arial"/>
                <w:sz w:val="18"/>
                <w:szCs w:val="18"/>
                <w:color w:val="auto"/>
                <w:w w:val="93"/>
              </w:rPr>
              <w:t>8(a)</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129,136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2780" w:type="dxa"/>
            <w:vAlign w:val="bottom"/>
          </w:tcPr>
          <w:p>
            <w:pPr>
              <w:jc w:val="center"/>
              <w:ind w:left="1310"/>
              <w:spacing w:after="0"/>
              <w:rPr>
                <w:sz w:val="20"/>
                <w:szCs w:val="20"/>
                <w:color w:val="auto"/>
              </w:rPr>
            </w:pPr>
            <w:r>
              <w:rPr>
                <w:rFonts w:ascii="Arial" w:cs="Arial" w:eastAsia="Arial" w:hAnsi="Arial"/>
                <w:sz w:val="18"/>
                <w:szCs w:val="18"/>
                <w:color w:val="auto"/>
                <w:w w:val="93"/>
              </w:rPr>
              <w:t>8(b)</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160,249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 net</w:t>
            </w:r>
          </w:p>
        </w:tc>
        <w:tc>
          <w:tcPr>
            <w:tcW w:w="2780" w:type="dxa"/>
            <w:vAlign w:val="bottom"/>
            <w:shd w:val="clear" w:color="auto" w:fill="CCFFCC"/>
          </w:tcPr>
          <w:p>
            <w:pPr>
              <w:jc w:val="center"/>
              <w:ind w:left="1310"/>
              <w:spacing w:after="0"/>
              <w:rPr>
                <w:sz w:val="20"/>
                <w:szCs w:val="20"/>
                <w:color w:val="auto"/>
              </w:rPr>
            </w:pPr>
            <w:r>
              <w:rPr>
                <w:rFonts w:ascii="Arial" w:cs="Arial" w:eastAsia="Arial" w:hAnsi="Arial"/>
                <w:sz w:val="18"/>
                <w:szCs w:val="18"/>
                <w:color w:val="auto"/>
                <w:w w:val="99"/>
              </w:rPr>
              <w:t>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372,913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27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70,331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Seized assets, net</w:t>
            </w:r>
          </w:p>
        </w:tc>
        <w:tc>
          <w:tcPr>
            <w:tcW w:w="27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Intangible assets and goodwill, net</w:t>
            </w:r>
          </w:p>
        </w:tc>
        <w:tc>
          <w:tcPr>
            <w:tcW w:w="2780" w:type="dxa"/>
            <w:vAlign w:val="bottom"/>
          </w:tcPr>
          <w:p>
            <w:pPr>
              <w:jc w:val="center"/>
              <w:ind w:left="1310"/>
              <w:spacing w:after="0"/>
              <w:rPr>
                <w:sz w:val="20"/>
                <w:szCs w:val="20"/>
                <w:color w:val="auto"/>
              </w:rPr>
            </w:pPr>
            <w:r>
              <w:rPr>
                <w:rFonts w:ascii="Arial" w:cs="Arial" w:eastAsia="Arial" w:hAnsi="Arial"/>
                <w:sz w:val="18"/>
                <w:szCs w:val="18"/>
                <w:color w:val="auto"/>
                <w:w w:val="90"/>
              </w:rPr>
              <w:t>10(a) and (b)</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372,625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341,951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2780" w:type="dxa"/>
            <w:vAlign w:val="bottom"/>
            <w:shd w:val="clear" w:color="auto" w:fill="CCFFCC"/>
          </w:tcPr>
          <w:p>
            <w:pPr>
              <w:jc w:val="center"/>
              <w:ind w:left="1310"/>
              <w:spacing w:after="0"/>
              <w:rPr>
                <w:sz w:val="20"/>
                <w:szCs w:val="20"/>
                <w:color w:val="auto"/>
              </w:rPr>
            </w:pPr>
            <w:r>
              <w:rPr>
                <w:rFonts w:ascii="Arial" w:cs="Arial" w:eastAsia="Arial" w:hAnsi="Arial"/>
                <w:sz w:val="18"/>
                <w:szCs w:val="18"/>
                <w:color w:val="auto"/>
                <w:w w:val="89"/>
              </w:rPr>
              <w:t>11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691,209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613,066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Borders>
              <w:top w:val="single" w:sz="8" w:color="CCFFCC"/>
            </w:tcBorders>
          </w:tcPr>
          <w:p>
            <w:pPr>
              <w:spacing w:after="0"/>
              <w:rPr>
                <w:sz w:val="18"/>
                <w:szCs w:val="18"/>
                <w:color w:val="auto"/>
              </w:rPr>
            </w:pPr>
          </w:p>
        </w:tc>
        <w:tc>
          <w:tcPr>
            <w:tcW w:w="278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28,413,180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22,013,632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FFCC"/>
            </w:tcBorders>
            <w:shd w:val="clear" w:color="auto" w:fill="CCFFCC"/>
          </w:tcPr>
          <w:p>
            <w:pPr>
              <w:spacing w:after="0" w:line="20" w:lineRule="exact"/>
              <w:rPr>
                <w:sz w:val="1"/>
                <w:szCs w:val="1"/>
                <w:color w:val="auto"/>
              </w:rPr>
            </w:pPr>
          </w:p>
        </w:tc>
        <w:tc>
          <w:tcPr>
            <w:tcW w:w="27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880" w:type="dxa"/>
            <w:vAlign w:val="bottom"/>
          </w:tcPr>
          <w:p>
            <w:pPr>
              <w:ind w:left="102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880" w:type="dxa"/>
            <w:vAlign w:val="bottom"/>
          </w:tcPr>
          <w:p>
            <w:pPr>
              <w:jc w:val="center"/>
              <w:ind w:left="410"/>
              <w:spacing w:after="0"/>
              <w:rPr>
                <w:sz w:val="20"/>
                <w:szCs w:val="20"/>
                <w:color w:val="auto"/>
              </w:rPr>
            </w:pPr>
            <w:r>
              <w:rPr>
                <w:rFonts w:ascii="Arial" w:cs="Arial" w:eastAsia="Arial" w:hAnsi="Arial"/>
                <w:sz w:val="18"/>
                <w:szCs w:val="18"/>
                <w:color w:val="auto"/>
                <w:w w:val="89"/>
              </w:rPr>
              <w:t>12</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w:t>
            </w: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4,360,570</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3,297,995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bearing</w:t>
            </w:r>
          </w:p>
        </w:tc>
        <w:tc>
          <w:tcPr>
            <w:tcW w:w="18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13,707,548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18,068,118</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14,085,098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880" w:type="dxa"/>
            <w:vAlign w:val="bottom"/>
          </w:tcPr>
          <w:p>
            <w:pPr>
              <w:jc w:val="center"/>
              <w:ind w:left="410"/>
              <w:spacing w:after="0"/>
              <w:rPr>
                <w:sz w:val="20"/>
                <w:szCs w:val="20"/>
                <w:color w:val="auto"/>
              </w:rPr>
            </w:pPr>
            <w:r>
              <w:rPr>
                <w:rFonts w:ascii="Arial" w:cs="Arial" w:eastAsia="Arial" w:hAnsi="Arial"/>
                <w:sz w:val="18"/>
                <w:szCs w:val="18"/>
                <w:color w:val="auto"/>
                <w:w w:val="89"/>
              </w:rPr>
              <w:t>13</w:t>
            </w:r>
          </w:p>
        </w:tc>
        <w:tc>
          <w:tcPr>
            <w:tcW w:w="1140" w:type="dxa"/>
            <w:vAlign w:val="bottom"/>
          </w:tcPr>
          <w:p>
            <w:pPr>
              <w:jc w:val="right"/>
              <w:spacing w:after="0"/>
              <w:rPr>
                <w:sz w:val="20"/>
                <w:szCs w:val="20"/>
                <w:color w:val="auto"/>
              </w:rPr>
            </w:pPr>
            <w:r>
              <w:rPr>
                <w:rFonts w:ascii="Arial" w:cs="Arial" w:eastAsia="Arial" w:hAnsi="Arial"/>
                <w:sz w:val="18"/>
                <w:szCs w:val="18"/>
                <w:color w:val="auto"/>
              </w:rPr>
              <w:t>2,244,446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70,331</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Accounts payable to reinsurers and coinsurers</w:t>
            </w:r>
          </w:p>
        </w:tc>
        <w:tc>
          <w:tcPr>
            <w:tcW w:w="1880" w:type="dxa"/>
            <w:vAlign w:val="bottom"/>
          </w:tcPr>
          <w:p>
            <w:pPr>
              <w:jc w:val="center"/>
              <w:ind w:left="410"/>
              <w:spacing w:after="0"/>
              <w:rPr>
                <w:sz w:val="20"/>
                <w:szCs w:val="20"/>
                <w:color w:val="auto"/>
              </w:rPr>
            </w:pPr>
            <w:r>
              <w:rPr>
                <w:rFonts w:ascii="Arial" w:cs="Arial" w:eastAsia="Arial" w:hAnsi="Arial"/>
                <w:sz w:val="18"/>
                <w:szCs w:val="18"/>
                <w:color w:val="auto"/>
                <w:w w:val="93"/>
              </w:rPr>
              <w:t>8(b)</w:t>
            </w:r>
          </w:p>
        </w:tc>
        <w:tc>
          <w:tcPr>
            <w:tcW w:w="1140" w:type="dxa"/>
            <w:vAlign w:val="bottom"/>
          </w:tcPr>
          <w:p>
            <w:pPr>
              <w:jc w:val="right"/>
              <w:spacing w:after="0"/>
              <w:rPr>
                <w:sz w:val="20"/>
                <w:szCs w:val="20"/>
                <w:color w:val="auto"/>
              </w:rPr>
            </w:pPr>
            <w:r>
              <w:rPr>
                <w:rFonts w:ascii="Arial" w:cs="Arial" w:eastAsia="Arial" w:hAnsi="Arial"/>
                <w:sz w:val="18"/>
                <w:szCs w:val="18"/>
                <w:color w:val="auto"/>
              </w:rPr>
              <w:t>60,775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Technical reserves, insurance claims reserves and reserves for unearned premiums</w:t>
            </w:r>
          </w:p>
        </w:tc>
        <w:tc>
          <w:tcPr>
            <w:tcW w:w="188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89"/>
              </w:rPr>
              <w:t>14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1,196,323</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1,018,791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880" w:type="dxa"/>
            <w:vAlign w:val="bottom"/>
          </w:tcPr>
          <w:p>
            <w:pPr>
              <w:jc w:val="center"/>
              <w:ind w:left="410"/>
              <w:spacing w:after="0"/>
              <w:rPr>
                <w:sz w:val="20"/>
                <w:szCs w:val="20"/>
                <w:color w:val="auto"/>
              </w:rPr>
            </w:pPr>
            <w:r>
              <w:rPr>
                <w:rFonts w:ascii="Arial" w:cs="Arial" w:eastAsia="Arial" w:hAnsi="Arial"/>
                <w:sz w:val="18"/>
                <w:szCs w:val="18"/>
                <w:color w:val="auto"/>
                <w:w w:val="89"/>
              </w:rPr>
              <w:t>15</w:t>
            </w:r>
          </w:p>
        </w:tc>
        <w:tc>
          <w:tcPr>
            <w:tcW w:w="1140" w:type="dxa"/>
            <w:vAlign w:val="bottom"/>
          </w:tcPr>
          <w:p>
            <w:pPr>
              <w:jc w:val="right"/>
              <w:spacing w:after="0"/>
              <w:rPr>
                <w:sz w:val="20"/>
                <w:szCs w:val="20"/>
                <w:color w:val="auto"/>
              </w:rPr>
            </w:pPr>
            <w:r>
              <w:rPr>
                <w:rFonts w:ascii="Arial" w:cs="Arial" w:eastAsia="Arial" w:hAnsi="Arial"/>
                <w:sz w:val="18"/>
                <w:szCs w:val="18"/>
                <w:color w:val="auto"/>
              </w:rPr>
              <w:t>3,001,698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2,382,973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880" w:type="dxa"/>
            <w:vAlign w:val="bottom"/>
            <w:tcBorders>
              <w:bottom w:val="single" w:sz="8" w:color="CCFFCC"/>
            </w:tcBorders>
            <w:shd w:val="clear" w:color="auto" w:fill="CCFFCC"/>
          </w:tcPr>
          <w:p>
            <w:pPr>
              <w:jc w:val="center"/>
              <w:ind w:left="410"/>
              <w:spacing w:after="0"/>
              <w:rPr>
                <w:sz w:val="20"/>
                <w:szCs w:val="20"/>
                <w:color w:val="auto"/>
              </w:rPr>
            </w:pPr>
            <w:r>
              <w:rPr>
                <w:rFonts w:ascii="Arial" w:cs="Arial" w:eastAsia="Arial" w:hAnsi="Arial"/>
                <w:sz w:val="18"/>
                <w:szCs w:val="18"/>
                <w:color w:val="auto"/>
                <w:w w:val="89"/>
              </w:rPr>
              <w:t>11</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841,238</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711,548</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25,482,929</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188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89"/>
              </w:rPr>
              <w:t>16</w:t>
            </w: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Treasury stock</w:t>
            </w:r>
          </w:p>
        </w:tc>
        <w:tc>
          <w:tcPr>
            <w:tcW w:w="18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(74,712)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(74,242)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Capital surplus</w:t>
            </w: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119,637</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Reserves</w:t>
            </w:r>
          </w:p>
        </w:tc>
        <w:tc>
          <w:tcPr>
            <w:tcW w:w="1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1,398,323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Other reserves</w:t>
            </w: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366,721</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Retained earnings</w:t>
            </w:r>
          </w:p>
        </w:tc>
        <w:tc>
          <w:tcPr>
            <w:tcW w:w="18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591,868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2,873,749</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2,316,856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8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56,502</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188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2,930,251</w:t>
            </w: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2,503,352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8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28,413,180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22,013,632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2010, 2009 and 2008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1,471,708</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1,312,925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(414,121)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(420,564)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(561,617)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892,361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6(d)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(174,682)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(163,392)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13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882,905</w:t>
            </w:r>
          </w:p>
        </w:tc>
        <w:tc>
          <w:tcPr>
            <w:tcW w:w="2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728,969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Other income</w:t>
            </w:r>
          </w:p>
        </w:tc>
        <w:tc>
          <w:tcPr>
            <w:tcW w:w="134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Banking services commissions</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21</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524,895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436,819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104,169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87,944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 of securities</w:t>
            </w:r>
          </w:p>
        </w:tc>
        <w:tc>
          <w:tcPr>
            <w:tcW w:w="1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80,326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120,932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51,936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w w:val="93"/>
              </w:rPr>
              <w:t>Net gain on financial assets and liabilities designated at fair value through profit or</w:t>
            </w: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loss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64,477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42,792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30,668</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804,535</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720,631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592,564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22</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480,293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424,682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9"/>
              </w:rPr>
              <w:t>Net claims incurred for life, property, casualty and health insurance contracts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(315,572)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(286,458)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(341,910)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34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164,721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138,224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3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(568,004)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(467,116)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3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(341,123)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(312,256)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(269,291)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w w:val="93"/>
              </w:rPr>
              <w:t>Net loss on financial assets and liabilities designated at fair value through profit or</w:t>
            </w: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loss</w:t>
            </w:r>
          </w:p>
        </w:tc>
        <w:tc>
          <w:tcPr>
            <w:tcW w:w="1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9(a) and 10(a)</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(82,289)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(71,099)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5(c)</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(9,825)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24</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(91,219)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(96,814)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(102,943)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34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(1,085,885)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(957,110)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(920,603)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766,276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630,714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496,421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Translation result</w:t>
            </w:r>
          </w:p>
        </w:tc>
        <w:tc>
          <w:tcPr>
            <w:tcW w:w="1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12,222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17(b)</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(187,081)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(138,500)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shd w:val="clear" w:color="auto" w:fill="CCFFCC"/>
          </w:tcPr>
          <w:p>
            <w:pPr>
              <w:spacing w:after="0"/>
              <w:rPr>
                <w:sz w:val="2"/>
                <w:szCs w:val="2"/>
                <w:color w:val="auto"/>
              </w:rPr>
            </w:pPr>
          </w:p>
        </w:tc>
        <w:tc>
          <w:tcPr>
            <w:tcW w:w="134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b w:val="1"/>
                <w:bCs w:val="1"/>
                <w:color w:val="auto"/>
              </w:rPr>
              <w:t>Net income</w:t>
            </w:r>
          </w:p>
        </w:tc>
        <w:tc>
          <w:tcPr>
            <w:tcW w:w="1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603,315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504,436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369,263</w:t>
            </w:r>
          </w:p>
        </w:tc>
        <w:tc>
          <w:tcPr>
            <w:tcW w:w="0" w:type="dxa"/>
            <w:vAlign w:val="bottom"/>
          </w:tcPr>
          <w:p>
            <w:pPr>
              <w:spacing w:after="0"/>
              <w:rPr>
                <w:sz w:val="1"/>
                <w:szCs w:val="1"/>
                <w:color w:val="auto"/>
              </w:rPr>
            </w:pPr>
          </w:p>
        </w:tc>
      </w:tr>
      <w:tr>
        <w:trPr>
          <w:trHeight w:val="21"/>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F-6</w:t>
            </w:r>
          </w:p>
        </w:tc>
        <w:tc>
          <w:tcPr>
            <w:tcW w:w="1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61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608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 xml:space="preserve">Consolidated statements of income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Note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30"/>
        </w:trPr>
        <w:tc>
          <w:tcPr>
            <w:tcW w:w="6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r>
      <w:tr>
        <w:trPr>
          <w:trHeight w:val="216"/>
        </w:trPr>
        <w:tc>
          <w:tcPr>
            <w:tcW w:w="6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Attributable to:</w:t>
            </w:r>
          </w:p>
        </w:tc>
        <w:tc>
          <w:tcPr>
            <w:tcW w:w="1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Equity holders of Credicorp Ltd.</w:t>
            </w:r>
          </w:p>
        </w:tc>
        <w:tc>
          <w:tcPr>
            <w:tcW w:w="1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571,302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469,785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357,756</w:t>
            </w:r>
          </w:p>
        </w:tc>
      </w:tr>
      <w:tr>
        <w:trPr>
          <w:trHeight w:val="216"/>
        </w:trPr>
        <w:tc>
          <w:tcPr>
            <w:tcW w:w="6260" w:type="dxa"/>
            <w:vAlign w:val="bottom"/>
            <w:shd w:val="clear" w:color="auto" w:fill="CCFFCC"/>
          </w:tcPr>
          <w:p>
            <w:pPr>
              <w:spacing w:after="0"/>
              <w:rPr>
                <w:sz w:val="20"/>
                <w:szCs w:val="20"/>
                <w:color w:val="auto"/>
              </w:rPr>
            </w:pPr>
            <w:r>
              <w:rPr>
                <w:rFonts w:ascii="Arial" w:cs="Arial" w:eastAsia="Arial" w:hAnsi="Arial"/>
                <w:sz w:val="18"/>
                <w:szCs w:val="18"/>
                <w:color w:val="auto"/>
              </w:rPr>
              <w:t>Non-controlling interest</w:t>
            </w:r>
          </w:p>
        </w:tc>
        <w:tc>
          <w:tcPr>
            <w:tcW w:w="11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32,013</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34,651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11,507</w:t>
            </w:r>
          </w:p>
        </w:tc>
      </w:tr>
      <w:tr>
        <w:trPr>
          <w:trHeight w:val="27"/>
        </w:trPr>
        <w:tc>
          <w:tcPr>
            <w:tcW w:w="6260" w:type="dxa"/>
            <w:vAlign w:val="bottom"/>
            <w:shd w:val="clear" w:color="auto" w:fill="CCFFCC"/>
          </w:tcPr>
          <w:p>
            <w:pPr>
              <w:spacing w:after="0"/>
              <w:rPr>
                <w:sz w:val="2"/>
                <w:szCs w:val="2"/>
                <w:color w:val="auto"/>
              </w:rPr>
            </w:pPr>
          </w:p>
        </w:tc>
        <w:tc>
          <w:tcPr>
            <w:tcW w:w="1180" w:type="dxa"/>
            <w:vAlign w:val="bottom"/>
            <w:shd w:val="clear" w:color="auto" w:fill="CCFFC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6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603,315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504,436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369,263</w:t>
            </w:r>
          </w:p>
        </w:tc>
      </w:tr>
      <w:tr>
        <w:trPr>
          <w:trHeight w:val="21"/>
        </w:trPr>
        <w:tc>
          <w:tcPr>
            <w:tcW w:w="6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626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w w:val="94"/>
              </w:rPr>
              <w:t>Earnings per share for net income attributable to equity holders of Credicorp</w:t>
            </w:r>
          </w:p>
        </w:tc>
        <w:tc>
          <w:tcPr>
            <w:tcW w:w="118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34"/>
        </w:trPr>
        <w:tc>
          <w:tcPr>
            <w:tcW w:w="626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Ltd. (in United States dollars):</w:t>
            </w:r>
          </w:p>
        </w:tc>
        <w:tc>
          <w:tcPr>
            <w:tcW w:w="118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89"/>
              </w:rPr>
              <w:t>25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r>
      <w:tr>
        <w:trPr>
          <w:trHeight w:val="21"/>
        </w:trPr>
        <w:tc>
          <w:tcPr>
            <w:tcW w:w="6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w:t>
            </w:r>
          </w:p>
        </w:tc>
        <w:tc>
          <w:tcPr>
            <w:tcW w:w="11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89"/>
              </w:rPr>
              <w:t>25</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w:t>
            </w:r>
          </w:p>
        </w:tc>
      </w:tr>
      <w:tr>
        <w:trPr>
          <w:trHeight w:val="20"/>
        </w:trPr>
        <w:tc>
          <w:tcPr>
            <w:tcW w:w="626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2010, 2009 and 2008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20" w:type="dxa"/>
            <w:vAlign w:val="bottom"/>
          </w:tcPr>
          <w:p>
            <w:pPr>
              <w:ind w:left="160"/>
              <w:spacing w:after="0"/>
              <w:rPr>
                <w:sz w:val="20"/>
                <w:szCs w:val="20"/>
                <w:color w:val="auto"/>
              </w:rPr>
            </w:pPr>
            <w:r>
              <w:rPr>
                <w:rFonts w:ascii="Arial" w:cs="Arial" w:eastAsia="Arial" w:hAnsi="Arial"/>
                <w:sz w:val="18"/>
                <w:szCs w:val="18"/>
                <w:b w:val="1"/>
                <w:bCs w:val="1"/>
                <w:color w:val="auto"/>
              </w:rPr>
              <w:t>Note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504,436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gain (loss) on investments available–for-sale</w:t>
            </w:r>
          </w:p>
        </w:tc>
        <w:tc>
          <w:tcPr>
            <w:tcW w:w="1020" w:type="dxa"/>
            <w:vAlign w:val="bottom"/>
          </w:tcPr>
          <w:p>
            <w:pPr>
              <w:ind w:left="140"/>
              <w:spacing w:after="0"/>
              <w:rPr>
                <w:sz w:val="20"/>
                <w:szCs w:val="20"/>
                <w:color w:val="auto"/>
              </w:rPr>
            </w:pPr>
            <w:r>
              <w:rPr>
                <w:rFonts w:ascii="Arial" w:cs="Arial" w:eastAsia="Arial" w:hAnsi="Arial"/>
                <w:sz w:val="18"/>
                <w:szCs w:val="18"/>
                <w:color w:val="auto"/>
              </w:rPr>
              <w:t>16(d)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225,261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268,550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Net movement of cash flow hedge</w:t>
            </w:r>
          </w:p>
        </w:tc>
        <w:tc>
          <w:tcPr>
            <w:tcW w:w="10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16(d)</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(7,319)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66,024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Income tax</w:t>
            </w:r>
          </w:p>
        </w:tc>
        <w:tc>
          <w:tcPr>
            <w:tcW w:w="1020" w:type="dxa"/>
            <w:vAlign w:val="bottom"/>
          </w:tcPr>
          <w:p>
            <w:pPr>
              <w:ind w:left="140"/>
              <w:spacing w:after="0"/>
              <w:rPr>
                <w:sz w:val="20"/>
                <w:szCs w:val="20"/>
                <w:color w:val="auto"/>
              </w:rPr>
            </w:pPr>
            <w:r>
              <w:rPr>
                <w:rFonts w:ascii="Arial" w:cs="Arial" w:eastAsia="Arial" w:hAnsi="Arial"/>
                <w:sz w:val="18"/>
                <w:szCs w:val="18"/>
                <w:color w:val="auto"/>
              </w:rPr>
              <w:t>16(d)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(66,010)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 net of income tax</w:t>
            </w:r>
          </w:p>
        </w:tc>
        <w:tc>
          <w:tcPr>
            <w:tcW w:w="10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151,932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328,733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(258,423)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0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755,247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833,169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110,840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0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700,577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752,624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54,670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80,545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755,247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833,169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110,840</w:t>
            </w:r>
          </w:p>
        </w:tc>
        <w:tc>
          <w:tcPr>
            <w:tcW w:w="0" w:type="dxa"/>
            <w:vAlign w:val="bottom"/>
          </w:tcPr>
          <w:p>
            <w:pPr>
              <w:spacing w:after="0"/>
              <w:rPr>
                <w:sz w:val="1"/>
                <w:szCs w:val="1"/>
                <w:color w:val="auto"/>
              </w:rPr>
            </w:pPr>
          </w:p>
        </w:tc>
      </w:tr>
      <w:tr>
        <w:trPr>
          <w:trHeight w:val="21"/>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w w:val="91"/>
              </w:rPr>
              <w:t>The accompanying notes are an integral part of these consolidated financial statements.</w:t>
            </w:r>
          </w:p>
        </w:tc>
        <w:tc>
          <w:tcPr>
            <w:tcW w:w="1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4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20" w:type="dxa"/>
            <w:vAlign w:val="bottom"/>
            <w:gridSpan w:val="2"/>
          </w:tcPr>
          <w:p>
            <w:pPr>
              <w:spacing w:after="0"/>
              <w:rPr>
                <w:sz w:val="20"/>
                <w:szCs w:val="20"/>
                <w:color w:val="auto"/>
              </w:rPr>
            </w:pPr>
            <w:r>
              <w:rPr>
                <w:rFonts w:ascii="Arial" w:cs="Arial" w:eastAsia="Arial" w:hAnsi="Arial"/>
                <w:sz w:val="18"/>
                <w:szCs w:val="18"/>
                <w:color w:val="auto"/>
              </w:rPr>
              <w:t>F-8</w:t>
            </w: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2010, 2009 and 2008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1"/>
                <w:szCs w:val="11"/>
                <w:b w:val="1"/>
                <w:bCs w:val="1"/>
                <w:color w:val="auto"/>
                <w:w w:val="98"/>
              </w:rPr>
              <w:t>Attributable to Credicorp´s equity holders</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Number of</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shares issued,</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Available-for-</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notes 16(a) and</w:t>
            </w: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Capital</w:t>
            </w: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Treasury</w:t>
            </w: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Capital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sale investments</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4"/>
              </w:rPr>
              <w:t>Cash flow hedge</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Non-controlling</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7"/>
              </w:rPr>
              <w:t>25</w:t>
            </w:r>
          </w:p>
        </w:tc>
        <w:tc>
          <w:tcPr>
            <w:tcW w:w="18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stock</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3"/>
              </w:rPr>
              <w:t>stock</w:t>
            </w: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surplus</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Reserves</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reserve</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reserve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interest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1"/>
                <w:szCs w:val="11"/>
                <w:color w:val="auto"/>
                <w:w w:val="88"/>
              </w:rPr>
              <w:t>(In thousands of</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units)</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98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ind w:left="6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96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January 1, 2008</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94,382</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471,912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(73,107)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140,693</w:t>
            </w: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587,218</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216,983</w:t>
            </w:r>
          </w:p>
        </w:tc>
        <w:tc>
          <w:tcPr>
            <w:tcW w:w="20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(37,433)</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369,743</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1,676,009</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139,264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1,815,273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Changes in equity for 2008 -</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11,507</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369,263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Other comprehensive income</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(144,254)</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(80,689)</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(224,943)</w:t>
            </w:r>
          </w:p>
        </w:tc>
        <w:tc>
          <w:tcPr>
            <w:tcW w:w="9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(33,480)</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(258,423)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comprehensive income</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(144,254)</w:t>
            </w: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(80,689)</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132,813</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(21,973)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110,840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w w:val="91"/>
              </w:rPr>
              <w:t>Transfers of retained earnings to reserves, note 16(c)</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228,169</w:t>
            </w:r>
          </w:p>
        </w:tc>
        <w:tc>
          <w:tcPr>
            <w:tcW w:w="100" w:type="dxa"/>
            <w:vAlign w:val="bottom"/>
          </w:tcPr>
          <w:p>
            <w:pPr>
              <w:spacing w:after="0"/>
              <w:rPr>
                <w:sz w:val="10"/>
                <w:szCs w:val="10"/>
                <w:color w:val="auto"/>
              </w:rPr>
            </w:pP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(228,169)</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16(e)</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(119,648)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Dividends of subsidiaries and other</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w:t>
            </w:r>
          </w:p>
        </w:tc>
        <w:tc>
          <w:tcPr>
            <w:tcW w:w="9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(10,358)</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December 31, 2008</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94,382</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471,912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(73,107)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140,693</w:t>
            </w: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815,387</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72,729</w:t>
            </w:r>
          </w:p>
        </w:tc>
        <w:tc>
          <w:tcPr>
            <w:tcW w:w="20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(118,122)</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379,680</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1,689,172</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106,933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1,796,105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Changes in equity for 2009 -</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469,785</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34,651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504,436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Other comprehensive income</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216,248</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66,591</w:t>
            </w:r>
          </w:p>
        </w:tc>
        <w:tc>
          <w:tcPr>
            <w:tcW w:w="220" w:type="dxa"/>
            <w:vAlign w:val="bottom"/>
          </w:tcPr>
          <w:p>
            <w:pPr>
              <w:spacing w:after="0"/>
              <w:rPr>
                <w:sz w:val="10"/>
                <w:szCs w:val="10"/>
                <w:color w:val="auto"/>
              </w:rPr>
            </w:pP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282,839</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45,894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328,733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comprehensive income</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216,248</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66,591</w:t>
            </w: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469,785</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752,624</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80,545</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833,169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w w:val="93"/>
              </w:rPr>
              <w:t>Transfer of retained earnings to reserves, note 16(c)</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238,107</w:t>
            </w:r>
          </w:p>
        </w:tc>
        <w:tc>
          <w:tcPr>
            <w:tcW w:w="100" w:type="dxa"/>
            <w:vAlign w:val="bottom"/>
          </w:tcPr>
          <w:p>
            <w:pPr>
              <w:spacing w:after="0"/>
              <w:rPr>
                <w:sz w:val="10"/>
                <w:szCs w:val="10"/>
                <w:color w:val="auto"/>
              </w:rPr>
            </w:pP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(238,107)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16(e)</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(119,303)</w:t>
            </w: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(119,303)</w:t>
            </w: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(119,303)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Purchase of treasury stock</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(1,135)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(10,352)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(11,487)</w:t>
            </w: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(11,487)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Share-based payments transactions, note 18(b)</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5,850</w:t>
            </w:r>
          </w:p>
        </w:tc>
        <w:tc>
          <w:tcPr>
            <w:tcW w:w="100" w:type="dxa"/>
            <w:vAlign w:val="bottom"/>
            <w:shd w:val="clear" w:color="auto" w:fill="CCFFCC"/>
          </w:tcPr>
          <w:p>
            <w:pPr>
              <w:spacing w:after="0"/>
              <w:rPr>
                <w:sz w:val="10"/>
                <w:szCs w:val="10"/>
                <w:color w:val="auto"/>
              </w:rPr>
            </w:pP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5,850</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5,850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Dividends of subsidiaries and other</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(982)</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December 31, 2009</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94,382</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471,912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(74,242)</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130,341</w:t>
            </w: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1,059,344</w:t>
            </w:r>
          </w:p>
        </w:tc>
        <w:tc>
          <w:tcPr>
            <w:tcW w:w="10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288,977</w:t>
            </w:r>
          </w:p>
        </w:tc>
        <w:tc>
          <w:tcPr>
            <w:tcW w:w="20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(51,531)</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492,055</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2,316,856</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186,496</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2,503,352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Changes in equity for 2010</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571,302</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571,302</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32,013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603,315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Other comprehensive income</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134,770</w:t>
            </w:r>
          </w:p>
        </w:tc>
        <w:tc>
          <w:tcPr>
            <w:tcW w:w="200" w:type="dxa"/>
            <w:vAlign w:val="bottom"/>
          </w:tcPr>
          <w:p>
            <w:pPr>
              <w:spacing w:after="0"/>
              <w:rPr>
                <w:sz w:val="10"/>
                <w:szCs w:val="10"/>
                <w:color w:val="auto"/>
              </w:rPr>
            </w:pP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(5,495)</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129,275</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22,657</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151,932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comprehensive income</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134,770</w:t>
            </w:r>
          </w:p>
        </w:tc>
        <w:tc>
          <w:tcPr>
            <w:tcW w:w="200" w:type="dxa"/>
            <w:vAlign w:val="bottom"/>
            <w:shd w:val="clear" w:color="auto" w:fill="CCFFCC"/>
          </w:tcPr>
          <w:p>
            <w:pPr>
              <w:spacing w:after="0"/>
              <w:rPr>
                <w:sz w:val="10"/>
                <w:szCs w:val="10"/>
                <w:color w:val="auto"/>
              </w:rPr>
            </w:pP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(5,495)</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571,302</w:t>
            </w: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700,577</w:t>
            </w:r>
          </w:p>
        </w:tc>
        <w:tc>
          <w:tcPr>
            <w:tcW w:w="220" w:type="dxa"/>
            <w:vAlign w:val="bottom"/>
            <w:shd w:val="clear" w:color="auto" w:fill="CCFFCC"/>
          </w:tcPr>
          <w:p>
            <w:pPr>
              <w:spacing w:after="0"/>
              <w:rPr>
                <w:sz w:val="10"/>
                <w:szCs w:val="10"/>
                <w:color w:val="auto"/>
              </w:rPr>
            </w:pP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54,670</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755,247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Purchase of non-controlling interest, note 2(a)</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(4,289)</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(4,289)</w:t>
            </w:r>
          </w:p>
        </w:tc>
        <w:tc>
          <w:tcPr>
            <w:tcW w:w="9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(180,682)</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(184,971)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3"/>
              </w:rPr>
              <w:t>Transfer of retained earnings to reserves, note 16(c)</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331,605</w:t>
            </w:r>
          </w:p>
        </w:tc>
        <w:tc>
          <w:tcPr>
            <w:tcW w:w="100" w:type="dxa"/>
            <w:vAlign w:val="bottom"/>
            <w:shd w:val="clear" w:color="auto" w:fill="CCFFCC"/>
          </w:tcPr>
          <w:p>
            <w:pPr>
              <w:spacing w:after="0"/>
              <w:rPr>
                <w:sz w:val="10"/>
                <w:szCs w:val="10"/>
                <w:color w:val="auto"/>
              </w:rPr>
            </w:pP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(331,605)</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Cash dividends, note 16(e)</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(135,595)</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(135,595)</w:t>
            </w: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(135,595)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Purchase of treasury stock</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(848)</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(14,154)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(15,002)</w:t>
            </w:r>
          </w:p>
        </w:tc>
        <w:tc>
          <w:tcPr>
            <w:tcW w:w="9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(15,002)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tcPr>
          <w:p>
            <w:pPr>
              <w:spacing w:after="0" w:line="122" w:lineRule="exact"/>
              <w:rPr>
                <w:sz w:val="20"/>
                <w:szCs w:val="20"/>
                <w:color w:val="auto"/>
              </w:rPr>
            </w:pPr>
            <w:r>
              <w:rPr>
                <w:rFonts w:ascii="Arial" w:cs="Arial" w:eastAsia="Arial" w:hAnsi="Arial"/>
                <w:sz w:val="11"/>
                <w:szCs w:val="11"/>
                <w:color w:val="auto"/>
              </w:rPr>
              <w:t>Share-based payments transactions, note 18(b)</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378</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3,450</w:t>
            </w:r>
          </w:p>
        </w:tc>
        <w:tc>
          <w:tcPr>
            <w:tcW w:w="2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7,374</w:t>
            </w:r>
          </w:p>
        </w:tc>
        <w:tc>
          <w:tcPr>
            <w:tcW w:w="100" w:type="dxa"/>
            <w:vAlign w:val="bottom"/>
          </w:tcPr>
          <w:p>
            <w:pPr>
              <w:spacing w:after="0"/>
              <w:rPr>
                <w:sz w:val="10"/>
                <w:szCs w:val="10"/>
                <w:color w:val="auto"/>
              </w:rPr>
            </w:pPr>
          </w:p>
        </w:tc>
        <w:tc>
          <w:tcPr>
            <w:tcW w:w="106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11,202</w:t>
            </w:r>
          </w:p>
        </w:tc>
        <w:tc>
          <w:tcPr>
            <w:tcW w:w="22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11,202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Dividends of subsidiaries and other</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(3,982)</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1"/>
                <w:szCs w:val="11"/>
                <w:b w:val="1"/>
                <w:bCs w:val="1"/>
                <w:color w:val="auto"/>
              </w:rPr>
              <w:t>Balances as of December 31, 2010</w:t>
            </w:r>
          </w:p>
        </w:tc>
        <w:tc>
          <w:tcPr>
            <w:tcW w:w="700" w:type="dxa"/>
            <w:vAlign w:val="bottom"/>
          </w:tcPr>
          <w:p>
            <w:pPr>
              <w:jc w:val="right"/>
              <w:spacing w:after="0"/>
              <w:rPr>
                <w:sz w:val="20"/>
                <w:szCs w:val="20"/>
                <w:color w:val="auto"/>
              </w:rPr>
            </w:pPr>
            <w:r>
              <w:rPr>
                <w:rFonts w:ascii="Arial" w:cs="Arial" w:eastAsia="Arial" w:hAnsi="Arial"/>
                <w:sz w:val="11"/>
                <w:szCs w:val="11"/>
                <w:color w:val="auto"/>
              </w:rPr>
              <w:t>94,382</w:t>
            </w: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471,912</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(74,712)</w:t>
            </w:r>
          </w:p>
        </w:tc>
        <w:tc>
          <w:tcPr>
            <w:tcW w:w="540" w:type="dxa"/>
            <w:vAlign w:val="bottom"/>
          </w:tcPr>
          <w:p>
            <w:pPr>
              <w:jc w:val="right"/>
              <w:spacing w:after="0"/>
              <w:rPr>
                <w:sz w:val="20"/>
                <w:szCs w:val="20"/>
                <w:color w:val="auto"/>
              </w:rPr>
            </w:pPr>
            <w:r>
              <w:rPr>
                <w:rFonts w:ascii="Arial" w:cs="Arial" w:eastAsia="Arial" w:hAnsi="Arial"/>
                <w:sz w:val="11"/>
                <w:szCs w:val="11"/>
                <w:color w:val="auto"/>
              </w:rPr>
              <w:t>119,637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1,398,323</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423,747</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1"/>
                <w:szCs w:val="11"/>
                <w:color w:val="auto"/>
              </w:rPr>
              <w:t>(57,026)</w:t>
            </w:r>
          </w:p>
        </w:tc>
        <w:tc>
          <w:tcPr>
            <w:tcW w:w="560" w:type="dxa"/>
            <w:vAlign w:val="bottom"/>
          </w:tcPr>
          <w:p>
            <w:pPr>
              <w:jc w:val="right"/>
              <w:spacing w:after="0"/>
              <w:rPr>
                <w:sz w:val="20"/>
                <w:szCs w:val="20"/>
                <w:color w:val="auto"/>
              </w:rPr>
            </w:pPr>
            <w:r>
              <w:rPr>
                <w:rFonts w:ascii="Arial" w:cs="Arial" w:eastAsia="Arial" w:hAnsi="Arial"/>
                <w:sz w:val="11"/>
                <w:szCs w:val="11"/>
                <w:color w:val="auto"/>
              </w:rPr>
              <w:t>591,868</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2,873,749</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56,502</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2,930,251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2010, 2009 and 2008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603,315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504,436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174,682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163,392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82,289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71,099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8,440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(16,333)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(8,552)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 available-for-sale</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(80,326)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(120,932)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9,825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w w:val="98"/>
              </w:rPr>
              <w:t>Net (gain) loss on financial assets and liabilities designated at fair value through profit and loss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(64,477)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(42,792)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gain on sales of property, furniture and equipment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(24,120)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(12,222)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(gain) for shared-based compensation 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73,527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56,338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(Sale) purchase of trading securities, net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(43,048)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(34,690)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loans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(2,943,128)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(944,021)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Decrease(increase) in other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35,250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(6,289)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4,074,938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133,199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2,614,020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(decrease) in due to banks and correspondents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1,082,383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(151,781)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other liabilities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263,147</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(126,552)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3,230,146</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(495,441)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subsidiary net of cash received, note 2(b)</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(92,329)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sale (purchase) of investments available-for-sale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1,393,345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284,371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(80,184)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(45,051)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Purchase of non-controlling interest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(184,971)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1,128,455</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149,736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35,838</w:t>
            </w:r>
          </w:p>
        </w:tc>
        <w:tc>
          <w:tcPr>
            <w:tcW w:w="0" w:type="dxa"/>
            <w:vAlign w:val="bottom"/>
          </w:tcPr>
          <w:p>
            <w:pPr>
              <w:spacing w:after="0"/>
              <w:rPr>
                <w:sz w:val="1"/>
                <w:szCs w:val="1"/>
                <w:color w:val="auto"/>
              </w:rPr>
            </w:pPr>
          </w:p>
        </w:tc>
      </w:tr>
      <w:tr>
        <w:trPr>
          <w:trHeight w:val="581"/>
        </w:trPr>
        <w:tc>
          <w:tcPr>
            <w:tcW w:w="7440" w:type="dxa"/>
            <w:vAlign w:val="bottom"/>
            <w:gridSpan w:val="2"/>
          </w:tcPr>
          <w:p>
            <w:pPr>
              <w:spacing w:after="0"/>
              <w:rPr>
                <w:sz w:val="20"/>
                <w:szCs w:val="20"/>
                <w:color w:val="auto"/>
              </w:rPr>
            </w:pPr>
            <w:r>
              <w:rPr>
                <w:rFonts w:ascii="Arial" w:cs="Arial" w:eastAsia="Arial" w:hAnsi="Arial"/>
                <w:sz w:val="18"/>
                <w:szCs w:val="18"/>
                <w:color w:val="auto"/>
              </w:rPr>
              <w:t>F-10</w:t>
            </w: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 xml:space="preserve">Consolidated statements of cash flow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bonds and notes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1,449,323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570,900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Redemption and payments of bonds and notes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(858,890)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(114,891)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Credicorp’s shares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(15,002)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(11,487)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(135,595)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(119,303)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439,836</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4,798,437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(20,486)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715,828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Translation gain (loss) on cash and cash equivalents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(52,240)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90,973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3,836,658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3,073,865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8,582,855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3,836,658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401,156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444,398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172,481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142,516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1,462,520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1,315,704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1,361,143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and 2009</w:t>
      </w:r>
    </w:p>
    <w:p>
      <w:pPr>
        <w:spacing w:after="0" w:line="205" w:lineRule="exact"/>
        <w:rPr>
          <w:sz w:val="20"/>
          <w:szCs w:val="20"/>
          <w:color w:val="auto"/>
        </w:rPr>
      </w:pPr>
    </w:p>
    <w:p>
      <w:pPr>
        <w:ind w:left="500" w:hanging="492"/>
        <w:spacing w:after="0"/>
        <w:tabs>
          <w:tab w:leader="none" w:pos="5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50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83" w:lineRule="exact"/>
        <w:rPr>
          <w:rFonts w:ascii="Arial" w:cs="Arial" w:eastAsia="Arial" w:hAnsi="Arial"/>
          <w:sz w:val="18"/>
          <w:szCs w:val="18"/>
          <w:b w:val="1"/>
          <w:bCs w:val="1"/>
          <w:color w:val="auto"/>
        </w:rPr>
      </w:pPr>
    </w:p>
    <w:p>
      <w:pPr>
        <w:ind w:left="5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through its banking and non-banking subsidiaries, provides a wide range of financial services and products throughout Peru and in certain other countries (Bolivia and Panama). Its major subsidiary is Banco de Crédito del Perú (hereinafter “BCP” or the “Bank”), a Peruvian universal bank. Credicorp’s address is Clarendon House 2 Church Street Hamilton, Bermuda; likewise, administration offices of its representative in Peru are located in Calle Centenario Nº156, La Molina, Lima, Peru.</w:t>
      </w:r>
    </w:p>
    <w:p>
      <w:pPr>
        <w:spacing w:after="0" w:line="18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25" w:lineRule="exact"/>
        <w:rPr>
          <w:rFonts w:ascii="Arial" w:cs="Arial" w:eastAsia="Arial" w:hAnsi="Arial"/>
          <w:sz w:val="18"/>
          <w:szCs w:val="18"/>
          <w:b w:val="1"/>
          <w:bCs w:val="1"/>
          <w:color w:val="auto"/>
        </w:rPr>
      </w:pPr>
    </w:p>
    <w:p>
      <w:pPr>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as of and for the year ended December 31, 2009 were approved in the General Shareholders’ meeting held on March 26, 2010. The accompanying consolidated financial statements as of and for the year ended December 31, 2010, were approved by the Board of Directors Meeting of February 22, 2011 and by the General Shareholders’ Meeting of March, 31 2011 without modifications.</w:t>
      </w:r>
    </w:p>
    <w:p>
      <w:pPr>
        <w:spacing w:after="0" w:line="161" w:lineRule="exact"/>
        <w:rPr>
          <w:rFonts w:ascii="Arial" w:cs="Arial" w:eastAsia="Arial" w:hAnsi="Arial"/>
          <w:sz w:val="18"/>
          <w:szCs w:val="18"/>
          <w:b w:val="1"/>
          <w:bCs w:val="1"/>
          <w:color w:val="auto"/>
        </w:rPr>
      </w:pPr>
    </w:p>
    <w:p>
      <w:pPr>
        <w:ind w:left="500" w:hanging="402"/>
        <w:spacing w:after="0"/>
        <w:tabs>
          <w:tab w:leader="none" w:pos="500" w:val="left"/>
        </w:tabs>
        <w:numPr>
          <w:ilvl w:val="1"/>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Non-controlling interest of Subsidiaries</w:t>
      </w:r>
    </w:p>
    <w:p>
      <w:pPr>
        <w:spacing w:after="0" w:line="9" w:lineRule="exact"/>
        <w:rPr>
          <w:rFonts w:ascii="Arial" w:cs="Arial" w:eastAsia="Arial" w:hAnsi="Arial"/>
          <w:sz w:val="18"/>
          <w:szCs w:val="18"/>
          <w:color w:val="auto"/>
        </w:rPr>
      </w:pPr>
    </w:p>
    <w:p>
      <w:pPr>
        <w:ind w:left="1140" w:right="180"/>
        <w:spacing w:after="0" w:line="292" w:lineRule="auto"/>
        <w:rPr>
          <w:rFonts w:ascii="Arial" w:cs="Arial" w:eastAsia="Arial" w:hAnsi="Arial"/>
          <w:sz w:val="18"/>
          <w:szCs w:val="18"/>
          <w:color w:val="auto"/>
        </w:rPr>
      </w:pPr>
      <w:r>
        <w:rPr>
          <w:rFonts w:ascii="Arial" w:cs="Arial" w:eastAsia="Arial" w:hAnsi="Arial"/>
          <w:sz w:val="16"/>
          <w:szCs w:val="16"/>
          <w:color w:val="auto"/>
        </w:rPr>
        <w:t>During October 2010, Credicorp reached an agreement with American Life Insurance Company (hereinafter “ALICO”) to acquire its 20.10 percent and 38.00 percent stakes in El Pacifico Peruano – Suiza Compañía de Seguros y Reaseguros (PPS) and Pacifico Vida Compañía de Seguros (PPV), respectively. Credicorp Ltd. acquired PPV's shares and its subsidiary, Grupo Credito S.A., acquired PPS’s shares. An additional 1.18 percent of non-controlling interest was acquired by Grupo Crédito S.A. from other shareholders. In April 2011, Credicorp transferred its shares in PPV to PPS; this transfer has no effect on Credicorp’s consolidated financial statements.</w:t>
      </w:r>
    </w:p>
    <w:p>
      <w:pPr>
        <w:spacing w:after="0" w:line="162" w:lineRule="exact"/>
        <w:rPr>
          <w:rFonts w:ascii="Arial" w:cs="Arial" w:eastAsia="Arial" w:hAnsi="Arial"/>
          <w:sz w:val="18"/>
          <w:szCs w:val="18"/>
          <w:color w:val="auto"/>
        </w:rPr>
      </w:pPr>
    </w:p>
    <w:p>
      <w:pPr>
        <w:ind w:left="1140" w:right="80"/>
        <w:spacing w:after="0" w:line="264" w:lineRule="auto"/>
        <w:rPr>
          <w:rFonts w:ascii="Arial" w:cs="Arial" w:eastAsia="Arial" w:hAnsi="Arial"/>
          <w:sz w:val="18"/>
          <w:szCs w:val="18"/>
          <w:color w:val="auto"/>
        </w:rPr>
      </w:pPr>
      <w:r>
        <w:rPr>
          <w:rFonts w:ascii="Arial" w:cs="Arial" w:eastAsia="Arial" w:hAnsi="Arial"/>
          <w:sz w:val="18"/>
          <w:szCs w:val="18"/>
          <w:color w:val="auto"/>
        </w:rPr>
        <w:t>After these acquisitions, Credicorp holds 97.26 percent of PPS and 100 percent of PPV. The total cash consideration paid was approximately US$174 million. The difference of US$3.3 million between the consideration paid and the carrying value of the interest acquired has been recognized in “Retained earnings” within consolidated equity.</w:t>
      </w:r>
    </w:p>
    <w:p>
      <w:pPr>
        <w:spacing w:after="0" w:line="181" w:lineRule="exact"/>
        <w:rPr>
          <w:rFonts w:ascii="Arial" w:cs="Arial" w:eastAsia="Arial" w:hAnsi="Arial"/>
          <w:sz w:val="18"/>
          <w:szCs w:val="18"/>
          <w:color w:val="auto"/>
        </w:rPr>
      </w:pPr>
    </w:p>
    <w:p>
      <w:pPr>
        <w:ind w:left="1140" w:right="220"/>
        <w:spacing w:after="0" w:line="277" w:lineRule="auto"/>
        <w:rPr>
          <w:rFonts w:ascii="Arial" w:cs="Arial" w:eastAsia="Arial" w:hAnsi="Arial"/>
          <w:sz w:val="18"/>
          <w:szCs w:val="18"/>
          <w:color w:val="auto"/>
        </w:rPr>
      </w:pPr>
      <w:r>
        <w:rPr>
          <w:rFonts w:ascii="Arial" w:cs="Arial" w:eastAsia="Arial" w:hAnsi="Arial"/>
          <w:sz w:val="18"/>
          <w:szCs w:val="18"/>
          <w:color w:val="auto"/>
        </w:rPr>
        <w:t>The acquisition was recorded following IFRS 3 (revised) “Business Combinations” and IAS 27 (amendments) “Consolidated and Separate Financial Statements”, see note 3(b).</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1160" w:hanging="607"/>
        <w:spacing w:after="0"/>
        <w:tabs>
          <w:tab w:leader="none" w:pos="11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Empresa Financiera Edyficar S.A.</w:t>
      </w:r>
    </w:p>
    <w:p>
      <w:pPr>
        <w:spacing w:after="0" w:line="27" w:lineRule="exact"/>
        <w:rPr>
          <w:rFonts w:ascii="Arial" w:cs="Arial" w:eastAsia="Arial" w:hAnsi="Arial"/>
          <w:sz w:val="18"/>
          <w:szCs w:val="18"/>
          <w:b w:val="1"/>
          <w:bCs w:val="1"/>
          <w:color w:val="auto"/>
        </w:rPr>
      </w:pPr>
    </w:p>
    <w:p>
      <w:pPr>
        <w:ind w:left="114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During October and November 2009, Credicorp, through its subsidiary BCP, acquired 99.79 percent of the capital stock of Empresa Financiera Edyficar S.A. (a Peruvian financial entity, serving micro and small size entrepreneurs, hereinafter “Edyficar”) for approximately US$96.1 million in cash.</w:t>
      </w:r>
    </w:p>
    <w:p>
      <w:pPr>
        <w:spacing w:after="0" w:line="190" w:lineRule="exact"/>
        <w:rPr>
          <w:rFonts w:ascii="Arial" w:cs="Arial" w:eastAsia="Arial" w:hAnsi="Arial"/>
          <w:sz w:val="18"/>
          <w:szCs w:val="18"/>
          <w:b w:val="1"/>
          <w:bCs w:val="1"/>
          <w:color w:val="auto"/>
        </w:rPr>
      </w:pPr>
    </w:p>
    <w:p>
      <w:pPr>
        <w:jc w:val="both"/>
        <w:ind w:left="1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acquisition of Edyficar was recorded using the purchase method, as required by IFRS 3, “Business Combinations”, applicable at the date of the transaction. Assets and liabilities were recorded at their estimated fair values at the acquisition date, including the identified intangible assets unrecorded in Edyficar balance sheet. Book value and fair value of the identified assets and liabilities were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Book</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Fair value of the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adjustments</w:t>
            </w:r>
          </w:p>
        </w:tc>
        <w:tc>
          <w:tcPr>
            <w:tcW w:w="40" w:type="dxa"/>
            <w:vAlign w:val="bottom"/>
          </w:tcPr>
          <w:p>
            <w:pPr>
              <w:spacing w:after="0"/>
              <w:rPr>
                <w:sz w:val="19"/>
                <w:szCs w:val="19"/>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acquired entity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4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860" w:type="dxa"/>
            <w:vAlign w:val="bottom"/>
          </w:tcPr>
          <w:p>
            <w:pPr>
              <w:jc w:val="right"/>
              <w:spacing w:after="0"/>
              <w:rPr>
                <w:sz w:val="20"/>
                <w:szCs w:val="20"/>
                <w:color w:val="auto"/>
              </w:rPr>
            </w:pPr>
            <w:r>
              <w:rPr>
                <w:rFonts w:ascii="Arial" w:cs="Arial" w:eastAsia="Arial" w:hAnsi="Arial"/>
                <w:sz w:val="18"/>
                <w:szCs w:val="18"/>
                <w:color w:val="auto"/>
              </w:rPr>
              <w:t>3,810</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218,218</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(10,295)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207,923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Client relationships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 note 9(a)</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8,255</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8,255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Brand name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13,159</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Goodwill, note 10(b)</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50,696</w:t>
            </w:r>
          </w:p>
        </w:tc>
        <w:tc>
          <w:tcPr>
            <w:tcW w:w="13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11,802</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3,263</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Obligations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38,590</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Due to banks</w:t>
            </w:r>
          </w:p>
        </w:tc>
        <w:tc>
          <w:tcPr>
            <w:tcW w:w="860" w:type="dxa"/>
            <w:vAlign w:val="bottom"/>
          </w:tcPr>
          <w:p>
            <w:pPr>
              <w:jc w:val="right"/>
              <w:spacing w:after="0"/>
              <w:rPr>
                <w:sz w:val="20"/>
                <w:szCs w:val="20"/>
                <w:color w:val="auto"/>
              </w:rPr>
            </w:pPr>
            <w:r>
              <w:rPr>
                <w:rFonts w:ascii="Arial" w:cs="Arial" w:eastAsia="Arial" w:hAnsi="Arial"/>
                <w:sz w:val="18"/>
                <w:szCs w:val="18"/>
                <w:color w:val="auto"/>
              </w:rPr>
              <w:t>138,257</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6,611</w:t>
            </w:r>
          </w:p>
        </w:tc>
        <w:tc>
          <w:tcPr>
            <w:tcW w:w="13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liabilities</w:t>
            </w:r>
          </w:p>
        </w:tc>
        <w:tc>
          <w:tcPr>
            <w:tcW w:w="860" w:type="dxa"/>
            <w:vAlign w:val="bottom"/>
          </w:tcPr>
          <w:p>
            <w:pPr>
              <w:jc w:val="right"/>
              <w:spacing w:after="0"/>
              <w:rPr>
                <w:sz w:val="20"/>
                <w:szCs w:val="20"/>
                <w:color w:val="auto"/>
              </w:rPr>
            </w:pPr>
            <w:r>
              <w:rPr>
                <w:rFonts w:ascii="Arial" w:cs="Arial" w:eastAsia="Arial" w:hAnsi="Arial"/>
                <w:sz w:val="18"/>
                <w:szCs w:val="18"/>
                <w:color w:val="auto"/>
              </w:rPr>
              <w:t>25,054</w:t>
            </w: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831</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Net acquired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40,184</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55,955</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96,139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02"/>
        <w:spacing w:after="0"/>
        <w:tabs>
          <w:tab w:leader="none" w:pos="5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500" w:right="3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w:t>
      </w:r>
    </w:p>
    <w:p>
      <w:pPr>
        <w:spacing w:after="0" w:line="183" w:lineRule="exact"/>
        <w:rPr>
          <w:rFonts w:ascii="Arial" w:cs="Arial" w:eastAsia="Arial" w:hAnsi="Arial"/>
          <w:sz w:val="18"/>
          <w:szCs w:val="18"/>
          <w:b w:val="1"/>
          <w:bCs w:val="1"/>
          <w:color w:val="auto"/>
        </w:rPr>
      </w:pPr>
    </w:p>
    <w:p>
      <w:pPr>
        <w:ind w:left="1160" w:hanging="652"/>
        <w:spacing w:after="0"/>
        <w:tabs>
          <w:tab w:leader="none" w:pos="11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3" w:lineRule="exact"/>
        <w:rPr>
          <w:rFonts w:ascii="Arial" w:cs="Arial" w:eastAsia="Arial" w:hAnsi="Arial"/>
          <w:sz w:val="18"/>
          <w:szCs w:val="18"/>
          <w:color w:val="auto"/>
        </w:rPr>
      </w:pPr>
    </w:p>
    <w:p>
      <w:pPr>
        <w:ind w:left="1140" w:right="20"/>
        <w:spacing w:after="0" w:line="281" w:lineRule="auto"/>
        <w:rPr>
          <w:rFonts w:ascii="Arial" w:cs="Arial" w:eastAsia="Arial" w:hAnsi="Arial"/>
          <w:sz w:val="18"/>
          <w:szCs w:val="18"/>
          <w:color w:val="auto"/>
        </w:rPr>
      </w:pPr>
      <w:r>
        <w:rPr>
          <w:rFonts w:ascii="Arial" w:cs="Arial" w:eastAsia="Arial" w:hAnsi="Arial"/>
          <w:sz w:val="16"/>
          <w:szCs w:val="16"/>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trading securities, available-for-sale investments, derivative financial instruments, share-based payment and financial assets and financial liabilities designated at fair value through profit or loss, which were measured at fair value. The consolidated financial statements are presented in United States Dollars (US$), and all values are rounded to the nearest US$ thousands, except when otherwise indicated.</w:t>
      </w:r>
    </w:p>
    <w:p>
      <w:pPr>
        <w:spacing w:after="0" w:line="3" w:lineRule="exact"/>
        <w:rPr>
          <w:rFonts w:ascii="Arial" w:cs="Arial" w:eastAsia="Arial" w:hAnsi="Arial"/>
          <w:sz w:val="18"/>
          <w:szCs w:val="18"/>
          <w:color w:val="auto"/>
        </w:rPr>
      </w:pPr>
    </w:p>
    <w:p>
      <w:pPr>
        <w:ind w:left="1140" w:right="140"/>
        <w:spacing w:after="0" w:line="255"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3"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seized assets, the estimated useful life of property, furniture and equipment, the estimated useful life of intangible assets and goodwill, the valuation of derivative financial instruments and the deferred tax assets and liabilities. The accounting criteria used for each of these items are described in this note.</w:t>
      </w:r>
    </w:p>
    <w:p>
      <w:pPr>
        <w:spacing w:after="0" w:line="189"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The accounting policies adopted are consistent with those of the previous year, except that the Group has adopted those new IFRS and revised IAS mandatory for years beginning on or after January 1, 2010. The adoption of the new and revised standards did not have a significant effect on the accompanying consolidated financial statements; therefore, it has not been necessary to amend the comparative figures. In summary:</w:t>
      </w:r>
    </w:p>
    <w:p>
      <w:pPr>
        <w:spacing w:after="0" w:line="187" w:lineRule="exact"/>
        <w:rPr>
          <w:sz w:val="20"/>
          <w:szCs w:val="20"/>
          <w:color w:val="auto"/>
        </w:rPr>
      </w:pPr>
    </w:p>
    <w:p>
      <w:pPr>
        <w:ind w:left="1620" w:right="80" w:hanging="478"/>
        <w:spacing w:after="0" w:line="286" w:lineRule="auto"/>
        <w:tabs>
          <w:tab w:leader="none" w:pos="1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IFRS 2 Share-based Payment – Group Cash-settled Share-based Payment Transactions - The IASB also issued an amendment to IFRS 2 in June 2009 on the accounting for group cash-settled share-based payment transactions. This amendment is effective for financial years beginning on or after January 1, 2010. This amendment also supersedes IFRIC 8 and IFRIC 11.</w:t>
      </w:r>
    </w:p>
    <w:p>
      <w:pPr>
        <w:spacing w:after="0" w:line="165" w:lineRule="exact"/>
        <w:rPr>
          <w:rFonts w:ascii="Arial" w:cs="Arial" w:eastAsia="Arial" w:hAnsi="Arial"/>
          <w:sz w:val="17"/>
          <w:szCs w:val="17"/>
          <w:color w:val="auto"/>
        </w:rPr>
      </w:pPr>
    </w:p>
    <w:p>
      <w:pPr>
        <w:ind w:left="1620" w:right="180" w:hanging="478"/>
        <w:spacing w:after="0" w:line="286" w:lineRule="auto"/>
        <w:tabs>
          <w:tab w:leader="none" w:pos="1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IFRS 3 (revised) “Business Combinations” effective modifications for periods beginning on or after July 1, 2009. Changes in IFRS 3 (revised) affect the valuation of non-controlling interest, the accounting for transactions costs, the initial recognition and subsequent measurement of a contingent consideration and business combinations achieved in stages.</w:t>
      </w:r>
    </w:p>
    <w:p>
      <w:pPr>
        <w:spacing w:after="0" w:line="165" w:lineRule="exact"/>
        <w:rPr>
          <w:rFonts w:ascii="Arial" w:cs="Arial" w:eastAsia="Arial" w:hAnsi="Arial"/>
          <w:sz w:val="17"/>
          <w:szCs w:val="17"/>
          <w:color w:val="auto"/>
        </w:rPr>
      </w:pPr>
    </w:p>
    <w:p>
      <w:pPr>
        <w:ind w:left="1620" w:right="100" w:hanging="478"/>
        <w:spacing w:after="0" w:line="273" w:lineRule="auto"/>
        <w:tabs>
          <w:tab w:leader="none" w:pos="162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IAS 27 (amendment) “Consolidated and Separate Financial Statements” - effective for periods beginning on or after July 1, 2009. Changes in ownership interests of a subsidiary (that do not result in loss of control) will be accounted for as an equity transaction and will have no impact on goodwill nor will it give rise to a gain or loss. Losses incurred by the subsidiary will be allocated between the controlling and non-controlling interests (previously referred to as ‘Minority interest‘) even if the losses exceed the non-controlling equity investment in the subsidiary. Upon loss of control of a subsidiary, any retained interest will be remeasured to fair value and this will impact the gain or loss recognized on disposal.</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160" w:hanging="478"/>
        <w:spacing w:after="0" w:line="286" w:lineRule="auto"/>
        <w:tabs>
          <w:tab w:leader="none" w:pos="16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IAS 39 “Financial Instruments: Recognition and Measurement – Eligible Hedged Items (amendment)”, this amendment was issued in July 2008 and is effective for financial years beginning on or after July 1, 2009. It addresses the designation of a one-sided risk in a hedged item, and the designation of inflation as a hedged risk or portion in particular situations.</w:t>
      </w:r>
    </w:p>
    <w:p>
      <w:pPr>
        <w:spacing w:after="0" w:line="165" w:lineRule="exact"/>
        <w:rPr>
          <w:rFonts w:ascii="Arial" w:cs="Arial" w:eastAsia="Arial" w:hAnsi="Arial"/>
          <w:sz w:val="17"/>
          <w:szCs w:val="17"/>
          <w:color w:val="auto"/>
        </w:rPr>
      </w:pPr>
    </w:p>
    <w:p>
      <w:pPr>
        <w:ind w:left="1620" w:right="100" w:hanging="478"/>
        <w:spacing w:after="0" w:line="264" w:lineRule="auto"/>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IFRIC 17 “Distributions of Non-Cash Assets to owners”, effective prospectively for annual periods beginning on or after July 1, 2009. This interpretation provides guidance on accounting for arrangements whereby an entity distributes non-cash assets to shareholders either as a distribution of reserves or as dividends.</w:t>
      </w:r>
    </w:p>
    <w:p>
      <w:pPr>
        <w:spacing w:after="0" w:line="181" w:lineRule="exact"/>
        <w:rPr>
          <w:rFonts w:ascii="Arial" w:cs="Arial" w:eastAsia="Arial" w:hAnsi="Arial"/>
          <w:sz w:val="18"/>
          <w:szCs w:val="18"/>
          <w:color w:val="auto"/>
        </w:rPr>
      </w:pPr>
    </w:p>
    <w:p>
      <w:pPr>
        <w:ind w:left="1620" w:hanging="478"/>
        <w:spacing w:after="0"/>
        <w:tabs>
          <w:tab w:leader="none" w:pos="1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Improvements to IFRSs</w:t>
      </w:r>
    </w:p>
    <w:p>
      <w:pPr>
        <w:spacing w:after="0" w:line="23" w:lineRule="exact"/>
        <w:rPr>
          <w:rFonts w:ascii="Arial" w:cs="Arial" w:eastAsia="Arial" w:hAnsi="Arial"/>
          <w:sz w:val="18"/>
          <w:szCs w:val="18"/>
          <w:color w:val="auto"/>
        </w:rPr>
      </w:pPr>
    </w:p>
    <w:p>
      <w:pPr>
        <w:ind w:left="1620"/>
        <w:spacing w:after="0" w:line="261" w:lineRule="auto"/>
        <w:rPr>
          <w:rFonts w:ascii="Arial" w:cs="Arial" w:eastAsia="Arial" w:hAnsi="Arial"/>
          <w:sz w:val="18"/>
          <w:szCs w:val="18"/>
          <w:color w:val="auto"/>
        </w:rPr>
      </w:pPr>
      <w:r>
        <w:rPr>
          <w:rFonts w:ascii="Arial" w:cs="Arial" w:eastAsia="Arial" w:hAnsi="Arial"/>
          <w:sz w:val="18"/>
          <w:szCs w:val="18"/>
          <w:color w:val="auto"/>
        </w:rPr>
        <w:t>In 2009 and 2010, the IASB issued its annual amendments to International Financial Reporting Standards (IFRSs) and the related Bases for Conclusions and Guidance. The amendments primarily remove inconsistencies and clarify wording.</w:t>
      </w:r>
    </w:p>
    <w:p>
      <w:pPr>
        <w:spacing w:after="0" w:line="183" w:lineRule="exact"/>
        <w:rPr>
          <w:rFonts w:ascii="Arial" w:cs="Arial" w:eastAsia="Arial" w:hAnsi="Arial"/>
          <w:sz w:val="18"/>
          <w:szCs w:val="18"/>
          <w:color w:val="auto"/>
        </w:rPr>
      </w:pPr>
    </w:p>
    <w:p>
      <w:pPr>
        <w:ind w:left="1140" w:right="9160" w:hanging="646"/>
        <w:spacing w:after="0" w:line="291" w:lineRule="auto"/>
        <w:tabs>
          <w:tab w:leader="none" w:pos="11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Consolidation - Subsidiaries -</w:t>
      </w:r>
    </w:p>
    <w:p>
      <w:pPr>
        <w:ind w:left="1140" w:right="480"/>
        <w:spacing w:after="0" w:line="261" w:lineRule="auto"/>
        <w:rPr>
          <w:rFonts w:ascii="Arial" w:cs="Arial" w:eastAsia="Arial" w:hAnsi="Arial"/>
          <w:sz w:val="16"/>
          <w:szCs w:val="16"/>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183" w:lineRule="exact"/>
        <w:rPr>
          <w:rFonts w:ascii="Arial" w:cs="Arial" w:eastAsia="Arial" w:hAnsi="Arial"/>
          <w:sz w:val="16"/>
          <w:szCs w:val="16"/>
          <w:color w:val="auto"/>
        </w:rPr>
      </w:pPr>
    </w:p>
    <w:p>
      <w:pPr>
        <w:ind w:left="1140" w:right="260"/>
        <w:spacing w:after="0" w:line="286" w:lineRule="auto"/>
        <w:rPr>
          <w:rFonts w:ascii="Arial" w:cs="Arial" w:eastAsia="Arial" w:hAnsi="Arial"/>
          <w:sz w:val="16"/>
          <w:szCs w:val="16"/>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65" w:lineRule="exact"/>
        <w:rPr>
          <w:rFonts w:ascii="Arial" w:cs="Arial" w:eastAsia="Arial" w:hAnsi="Arial"/>
          <w:sz w:val="16"/>
          <w:szCs w:val="16"/>
          <w:color w:val="auto"/>
        </w:rPr>
      </w:pPr>
    </w:p>
    <w:p>
      <w:pPr>
        <w:ind w:left="1140" w:right="60"/>
        <w:spacing w:after="0" w:line="279" w:lineRule="auto"/>
        <w:rPr>
          <w:rFonts w:ascii="Arial" w:cs="Arial" w:eastAsia="Arial" w:hAnsi="Arial"/>
          <w:sz w:val="16"/>
          <w:szCs w:val="16"/>
          <w:color w:val="auto"/>
        </w:rPr>
      </w:pPr>
      <w:r>
        <w:rPr>
          <w:rFonts w:ascii="Arial" w:cs="Arial" w:eastAsia="Arial" w:hAnsi="Arial"/>
          <w:sz w:val="17"/>
          <w:szCs w:val="17"/>
          <w:color w:val="auto"/>
        </w:rPr>
        <w:t>Acquisitions of a subsidiary made before January 1, 2010 were recorded using the purchase method of accounting. Therefore, the cost of an acquisition was measured as the fair value of the assets received, financial instruments issued and liabilities incurred or assumed at the date of acquisition, plus directly attributable cost. The excess of the cost of acquisition over the fair value of the Group’s share of the identifiable net assets and intangible assets acquired was recorded as goodwill. There were no acquisitions after January 1, 2010.</w:t>
      </w:r>
    </w:p>
    <w:p>
      <w:pPr>
        <w:spacing w:after="0" w:line="171" w:lineRule="exact"/>
        <w:rPr>
          <w:rFonts w:ascii="Arial" w:cs="Arial" w:eastAsia="Arial" w:hAnsi="Arial"/>
          <w:sz w:val="16"/>
          <w:szCs w:val="16"/>
          <w:color w:val="auto"/>
        </w:rPr>
      </w:pPr>
    </w:p>
    <w:p>
      <w:pPr>
        <w:ind w:left="1140" w:right="400"/>
        <w:spacing w:after="0" w:line="277" w:lineRule="auto"/>
        <w:rPr>
          <w:rFonts w:ascii="Arial" w:cs="Arial" w:eastAsia="Arial" w:hAnsi="Arial"/>
          <w:sz w:val="16"/>
          <w:szCs w:val="16"/>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 note 3(z).</w:t>
      </w:r>
    </w:p>
    <w:p>
      <w:pPr>
        <w:spacing w:after="0" w:line="170" w:lineRule="exact"/>
        <w:rPr>
          <w:rFonts w:ascii="Arial" w:cs="Arial" w:eastAsia="Arial" w:hAnsi="Arial"/>
          <w:sz w:val="16"/>
          <w:szCs w:val="16"/>
          <w:color w:val="auto"/>
        </w:rPr>
      </w:pPr>
    </w:p>
    <w:p>
      <w:pPr>
        <w:ind w:left="1140" w:right="140"/>
        <w:spacing w:after="0" w:line="264" w:lineRule="auto"/>
        <w:rPr>
          <w:rFonts w:ascii="Arial" w:cs="Arial" w:eastAsia="Arial" w:hAnsi="Arial"/>
          <w:sz w:val="16"/>
          <w:szCs w:val="16"/>
          <w:color w:val="auto"/>
        </w:rPr>
      </w:pPr>
      <w:r>
        <w:rPr>
          <w:rFonts w:ascii="Arial" w:cs="Arial" w:eastAsia="Arial" w:hAnsi="Arial"/>
          <w:sz w:val="18"/>
          <w:szCs w:val="18"/>
          <w:color w:val="auto"/>
        </w:rPr>
        <w:t>Net equity attributable to the non-controlling interest is presented in the consolidated statements of financial position. Income attributable to the non-controlling interest is presented separately in the consolidated income statements and the consolidated statements of comprehensive income.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200"/>
        <w:spacing w:after="0" w:line="342" w:lineRule="auto"/>
        <w:rPr>
          <w:sz w:val="20"/>
          <w:szCs w:val="20"/>
          <w:color w:val="auto"/>
        </w:rPr>
      </w:pPr>
      <w:r>
        <w:rPr>
          <w:rFonts w:ascii="Arial" w:cs="Arial" w:eastAsia="Arial" w:hAnsi="Arial"/>
          <w:sz w:val="16"/>
          <w:szCs w:val="16"/>
          <w:color w:val="auto"/>
        </w:rPr>
        <w:t>Acquisitions of non-controlling interest prior to January 1, 2010, were accounted for using the parent entity extension method, whereby, the difference between the consideration and the book value of the share of the net assets acquired were recognized in goodwill.</w:t>
      </w:r>
    </w:p>
    <w:p>
      <w:pPr>
        <w:spacing w:after="0" w:line="124" w:lineRule="exact"/>
        <w:rPr>
          <w:sz w:val="20"/>
          <w:szCs w:val="20"/>
          <w:color w:val="auto"/>
        </w:rPr>
      </w:pPr>
    </w:p>
    <w:p>
      <w:pPr>
        <w:ind w:left="1140" w:right="60"/>
        <w:spacing w:after="0" w:line="264" w:lineRule="auto"/>
        <w:rPr>
          <w:sz w:val="20"/>
          <w:szCs w:val="20"/>
          <w:color w:val="auto"/>
        </w:rPr>
      </w:pPr>
      <w:r>
        <w:rPr>
          <w:rFonts w:ascii="Arial" w:cs="Arial" w:eastAsia="Arial" w:hAnsi="Arial"/>
          <w:sz w:val="18"/>
          <w:szCs w:val="18"/>
          <w:color w:val="auto"/>
        </w:rPr>
        <w:t>Acquisitions of non-controlling interest after January 1, 2010 are recorded directly in equity; the difference between the amounts paid and the share of the net assets acquired is a debit or credit to equity. Therefore, an entity will not record any additional goodwill upon purchase of a non-controlling interest nor recognize a gain or loss upon disposal of a non-controlling interest.</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Associates -</w:t>
      </w:r>
    </w:p>
    <w:p>
      <w:pPr>
        <w:spacing w:after="0" w:line="23" w:lineRule="exact"/>
        <w:rPr>
          <w:sz w:val="20"/>
          <w:szCs w:val="20"/>
          <w:color w:val="auto"/>
        </w:rPr>
      </w:pPr>
    </w:p>
    <w:p>
      <w:pPr>
        <w:ind w:left="1140"/>
        <w:spacing w:after="0" w:line="253" w:lineRule="auto"/>
        <w:rPr>
          <w:sz w:val="20"/>
          <w:szCs w:val="20"/>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2010 and 2009, the following entities comprise the Group (individual financial statements data is presented in accordance with</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00" w:type="dxa"/>
            <w:vAlign w:val="bottom"/>
            <w:gridSpan w:val="3"/>
          </w:tcPr>
          <w:p>
            <w:pPr>
              <w:spacing w:after="0"/>
              <w:rPr>
                <w:sz w:val="20"/>
                <w:szCs w:val="20"/>
                <w:color w:val="auto"/>
              </w:rPr>
            </w:pPr>
            <w:r>
              <w:rPr>
                <w:rFonts w:ascii="Arial" w:cs="Arial" w:eastAsia="Arial" w:hAnsi="Arial"/>
                <w:sz w:val="11"/>
                <w:szCs w:val="11"/>
                <w:b w:val="1"/>
                <w:bCs w:val="1"/>
                <w:color w:val="auto"/>
                <w:w w:val="98"/>
              </w:rPr>
              <w:t>Percentage of participation (direct and</w:t>
            </w: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rPr>
                <w:sz w:val="20"/>
                <w:szCs w:val="20"/>
                <w:color w:val="auto"/>
              </w:rPr>
            </w:pPr>
            <w:r>
              <w:rPr>
                <w:rFonts w:ascii="Arial" w:cs="Arial" w:eastAsia="Arial" w:hAnsi="Arial"/>
                <w:sz w:val="11"/>
                <w:szCs w:val="11"/>
                <w:b w:val="1"/>
                <w:bCs w:val="1"/>
                <w:color w:val="auto"/>
              </w:rPr>
              <w:t>Entity</w:t>
            </w:r>
          </w:p>
        </w:tc>
        <w:tc>
          <w:tcPr>
            <w:tcW w:w="1200" w:type="dxa"/>
            <w:vAlign w:val="bottom"/>
          </w:tcPr>
          <w:p>
            <w:pPr>
              <w:jc w:val="right"/>
              <w:ind w:right="46"/>
              <w:spacing w:after="0"/>
              <w:rPr>
                <w:sz w:val="20"/>
                <w:szCs w:val="20"/>
                <w:color w:val="auto"/>
              </w:rPr>
            </w:pPr>
            <w:r>
              <w:rPr>
                <w:rFonts w:ascii="Arial" w:cs="Arial" w:eastAsia="Arial" w:hAnsi="Arial"/>
                <w:sz w:val="11"/>
                <w:szCs w:val="11"/>
                <w:b w:val="1"/>
                <w:bCs w:val="1"/>
                <w:color w:val="auto"/>
              </w:rPr>
              <w:t>indirect)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Assets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ind w:left="480"/>
              <w:spacing w:after="0"/>
              <w:rPr>
                <w:sz w:val="20"/>
                <w:szCs w:val="20"/>
                <w:color w:val="auto"/>
              </w:rPr>
            </w:pPr>
            <w:r>
              <w:rPr>
                <w:rFonts w:ascii="Arial" w:cs="Arial" w:eastAsia="Arial" w:hAnsi="Arial"/>
                <w:sz w:val="11"/>
                <w:szCs w:val="11"/>
                <w:b w:val="1"/>
                <w:bCs w:val="1"/>
                <w:color w:val="auto"/>
              </w:rPr>
              <w:t>Liabilities</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Equity</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Net income (loss)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200" w:type="dxa"/>
            <w:vAlign w:val="bottom"/>
            <w:tcBorders>
              <w:top w:val="single" w:sz="8" w:color="auto"/>
            </w:tcBorders>
          </w:tcPr>
          <w:p>
            <w:pPr>
              <w:jc w:val="right"/>
              <w:ind w:right="666"/>
              <w:spacing w:after="0" w:line="112" w:lineRule="exact"/>
              <w:rPr>
                <w:sz w:val="20"/>
                <w:szCs w:val="20"/>
                <w:color w:val="auto"/>
              </w:rPr>
            </w:pPr>
            <w:r>
              <w:rPr>
                <w:rFonts w:ascii="Arial" w:cs="Arial" w:eastAsia="Arial" w:hAnsi="Arial"/>
                <w:sz w:val="11"/>
                <w:szCs w:val="11"/>
                <w:b w:val="1"/>
                <w:bCs w:val="1"/>
                <w:color w:val="auto"/>
              </w:rPr>
              <w:t>2010</w:t>
            </w:r>
          </w:p>
        </w:tc>
        <w:tc>
          <w:tcPr>
            <w:tcW w:w="600" w:type="dxa"/>
            <w:vAlign w:val="bottom"/>
            <w:tcBorders>
              <w:top w:val="single" w:sz="8" w:color="auto"/>
            </w:tcBorders>
          </w:tcPr>
          <w:p>
            <w:pPr>
              <w:jc w:val="right"/>
              <w:ind w:right="226"/>
              <w:spacing w:after="0" w:line="112"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9"/>
                <w:szCs w:val="9"/>
                <w:color w:val="auto"/>
              </w:rPr>
            </w:pPr>
          </w:p>
        </w:tc>
        <w:tc>
          <w:tcPr>
            <w:tcW w:w="880" w:type="dxa"/>
            <w:vAlign w:val="bottom"/>
            <w:tcBorders>
              <w:top w:val="single" w:sz="8" w:color="auto"/>
            </w:tcBorders>
          </w:tcPr>
          <w:p>
            <w:pPr>
              <w:jc w:val="right"/>
              <w:ind w:right="406"/>
              <w:spacing w:after="0" w:line="112" w:lineRule="exact"/>
              <w:rPr>
                <w:sz w:val="20"/>
                <w:szCs w:val="20"/>
                <w:color w:val="auto"/>
              </w:rPr>
            </w:pPr>
            <w:r>
              <w:rPr>
                <w:rFonts w:ascii="Arial" w:cs="Arial" w:eastAsia="Arial" w:hAnsi="Arial"/>
                <w:sz w:val="11"/>
                <w:szCs w:val="11"/>
                <w:b w:val="1"/>
                <w:bCs w:val="1"/>
                <w:color w:val="auto"/>
              </w:rPr>
              <w:t>2010</w:t>
            </w:r>
          </w:p>
        </w:tc>
        <w:tc>
          <w:tcPr>
            <w:tcW w:w="540" w:type="dxa"/>
            <w:vAlign w:val="bottom"/>
            <w:tcBorders>
              <w:top w:val="single" w:sz="8" w:color="auto"/>
            </w:tcBorders>
          </w:tcPr>
          <w:p>
            <w:pPr>
              <w:jc w:val="right"/>
              <w:ind w:right="146"/>
              <w:spacing w:after="0" w:line="112"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9"/>
                <w:szCs w:val="9"/>
                <w:color w:val="auto"/>
              </w:rPr>
            </w:pPr>
          </w:p>
        </w:tc>
        <w:tc>
          <w:tcPr>
            <w:tcW w:w="760" w:type="dxa"/>
            <w:vAlign w:val="bottom"/>
            <w:tcBorders>
              <w:top w:val="single" w:sz="8" w:color="auto"/>
            </w:tcBorders>
          </w:tcPr>
          <w:p>
            <w:pPr>
              <w:jc w:val="right"/>
              <w:ind w:right="286"/>
              <w:spacing w:after="0" w:line="112" w:lineRule="exact"/>
              <w:rPr>
                <w:sz w:val="20"/>
                <w:szCs w:val="20"/>
                <w:color w:val="auto"/>
              </w:rPr>
            </w:pPr>
            <w:r>
              <w:rPr>
                <w:rFonts w:ascii="Arial" w:cs="Arial" w:eastAsia="Arial" w:hAnsi="Arial"/>
                <w:sz w:val="11"/>
                <w:szCs w:val="11"/>
                <w:b w:val="1"/>
                <w:bCs w:val="1"/>
                <w:color w:val="auto"/>
              </w:rPr>
              <w:t>2010</w:t>
            </w:r>
          </w:p>
        </w:tc>
        <w:tc>
          <w:tcPr>
            <w:tcW w:w="660" w:type="dxa"/>
            <w:vAlign w:val="bottom"/>
            <w:tcBorders>
              <w:top w:val="single" w:sz="8" w:color="auto"/>
            </w:tcBorders>
          </w:tcPr>
          <w:p>
            <w:pPr>
              <w:jc w:val="right"/>
              <w:ind w:right="146"/>
              <w:spacing w:after="0" w:line="112"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9"/>
                <w:szCs w:val="9"/>
                <w:color w:val="auto"/>
              </w:rPr>
            </w:pPr>
          </w:p>
        </w:tc>
        <w:tc>
          <w:tcPr>
            <w:tcW w:w="840" w:type="dxa"/>
            <w:vAlign w:val="bottom"/>
            <w:tcBorders>
              <w:top w:val="single" w:sz="8" w:color="auto"/>
            </w:tcBorders>
          </w:tcPr>
          <w:p>
            <w:pPr>
              <w:jc w:val="right"/>
              <w:ind w:right="386"/>
              <w:spacing w:after="0" w:line="112" w:lineRule="exact"/>
              <w:rPr>
                <w:sz w:val="20"/>
                <w:szCs w:val="20"/>
                <w:color w:val="auto"/>
              </w:rPr>
            </w:pPr>
            <w:r>
              <w:rPr>
                <w:rFonts w:ascii="Arial" w:cs="Arial" w:eastAsia="Arial" w:hAnsi="Arial"/>
                <w:sz w:val="11"/>
                <w:szCs w:val="11"/>
                <w:b w:val="1"/>
                <w:bCs w:val="1"/>
                <w:color w:val="auto"/>
              </w:rPr>
              <w:t>2010</w:t>
            </w:r>
          </w:p>
        </w:tc>
        <w:tc>
          <w:tcPr>
            <w:tcW w:w="500" w:type="dxa"/>
            <w:vAlign w:val="bottom"/>
            <w:tcBorders>
              <w:top w:val="single" w:sz="8" w:color="auto"/>
            </w:tcBorders>
          </w:tcPr>
          <w:p>
            <w:pPr>
              <w:jc w:val="right"/>
              <w:ind w:right="126"/>
              <w:spacing w:after="0" w:line="112" w:lineRule="exact"/>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9"/>
                <w:szCs w:val="9"/>
                <w:color w:val="auto"/>
              </w:rPr>
            </w:pPr>
          </w:p>
        </w:tc>
        <w:tc>
          <w:tcPr>
            <w:tcW w:w="720" w:type="dxa"/>
            <w:vAlign w:val="bottom"/>
            <w:tcBorders>
              <w:top w:val="single" w:sz="8" w:color="auto"/>
            </w:tcBorders>
          </w:tcPr>
          <w:p>
            <w:pPr>
              <w:jc w:val="right"/>
              <w:ind w:right="266"/>
              <w:spacing w:after="0" w:line="112" w:lineRule="exact"/>
              <w:rPr>
                <w:sz w:val="20"/>
                <w:szCs w:val="20"/>
                <w:color w:val="auto"/>
              </w:rPr>
            </w:pPr>
            <w:r>
              <w:rPr>
                <w:rFonts w:ascii="Arial" w:cs="Arial" w:eastAsia="Arial" w:hAnsi="Arial"/>
                <w:sz w:val="11"/>
                <w:szCs w:val="11"/>
                <w:b w:val="1"/>
                <w:bCs w:val="1"/>
                <w:color w:val="auto"/>
              </w:rPr>
              <w:t>2010</w:t>
            </w:r>
          </w:p>
        </w:tc>
        <w:tc>
          <w:tcPr>
            <w:tcW w:w="620" w:type="dxa"/>
            <w:vAlign w:val="bottom"/>
            <w:tcBorders>
              <w:top w:val="single" w:sz="8" w:color="auto"/>
            </w:tcBorders>
          </w:tcPr>
          <w:p>
            <w:pPr>
              <w:jc w:val="right"/>
              <w:ind w:right="126"/>
              <w:spacing w:after="0" w:line="112" w:lineRule="exact"/>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200" w:type="dxa"/>
            <w:vAlign w:val="bottom"/>
          </w:tcPr>
          <w:p>
            <w:pPr>
              <w:jc w:val="right"/>
              <w:ind w:right="72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80" w:type="dxa"/>
            <w:vAlign w:val="bottom"/>
          </w:tcPr>
          <w:p>
            <w:pPr>
              <w:jc w:val="right"/>
              <w:ind w:right="306"/>
              <w:spacing w:after="0"/>
              <w:rPr>
                <w:sz w:val="20"/>
                <w:szCs w:val="20"/>
                <w:color w:val="auto"/>
              </w:rPr>
            </w:pPr>
            <w:r>
              <w:rPr>
                <w:rFonts w:ascii="Arial" w:cs="Arial" w:eastAsia="Arial" w:hAnsi="Arial"/>
                <w:sz w:val="11"/>
                <w:szCs w:val="11"/>
                <w:color w:val="auto"/>
              </w:rPr>
              <w:t>US$(000)</w:t>
            </w:r>
          </w:p>
        </w:tc>
        <w:tc>
          <w:tcPr>
            <w:tcW w:w="540" w:type="dxa"/>
            <w:vAlign w:val="bottom"/>
          </w:tcPr>
          <w:p>
            <w:pPr>
              <w:jc w:val="right"/>
              <w:ind w:right="46"/>
              <w:spacing w:after="0"/>
              <w:rPr>
                <w:sz w:val="20"/>
                <w:szCs w:val="20"/>
                <w:color w:val="auto"/>
              </w:rPr>
            </w:pPr>
            <w:r>
              <w:rPr>
                <w:rFonts w:ascii="Arial" w:cs="Arial" w:eastAsia="Arial" w:hAnsi="Arial"/>
                <w:sz w:val="11"/>
                <w:szCs w:val="11"/>
                <w:color w:val="auto"/>
                <w:w w:val="89"/>
              </w:rPr>
              <w:t>US$(000)</w:t>
            </w:r>
          </w:p>
        </w:tc>
        <w:tc>
          <w:tcPr>
            <w:tcW w:w="200" w:type="dxa"/>
            <w:vAlign w:val="bottom"/>
          </w:tcPr>
          <w:p>
            <w:pPr>
              <w:spacing w:after="0"/>
              <w:rPr>
                <w:sz w:val="11"/>
                <w:szCs w:val="11"/>
                <w:color w:val="auto"/>
              </w:rPr>
            </w:pPr>
          </w:p>
        </w:tc>
        <w:tc>
          <w:tcPr>
            <w:tcW w:w="760" w:type="dxa"/>
            <w:vAlign w:val="bottom"/>
          </w:tcPr>
          <w:p>
            <w:pPr>
              <w:jc w:val="right"/>
              <w:ind w:right="186"/>
              <w:spacing w:after="0"/>
              <w:rPr>
                <w:sz w:val="20"/>
                <w:szCs w:val="20"/>
                <w:color w:val="auto"/>
              </w:rPr>
            </w:pPr>
            <w:r>
              <w:rPr>
                <w:rFonts w:ascii="Arial" w:cs="Arial" w:eastAsia="Arial" w:hAnsi="Arial"/>
                <w:sz w:val="11"/>
                <w:szCs w:val="11"/>
                <w:color w:val="auto"/>
              </w:rPr>
              <w:t>US$(000)</w:t>
            </w:r>
          </w:p>
        </w:tc>
        <w:tc>
          <w:tcPr>
            <w:tcW w:w="860" w:type="dxa"/>
            <w:vAlign w:val="bottom"/>
            <w:gridSpan w:val="2"/>
          </w:tcPr>
          <w:p>
            <w:pPr>
              <w:ind w:left="140"/>
              <w:spacing w:after="0"/>
              <w:rPr>
                <w:sz w:val="20"/>
                <w:szCs w:val="20"/>
                <w:color w:val="auto"/>
              </w:rPr>
            </w:pPr>
            <w:r>
              <w:rPr>
                <w:rFonts w:ascii="Arial" w:cs="Arial" w:eastAsia="Arial" w:hAnsi="Arial"/>
                <w:sz w:val="11"/>
                <w:szCs w:val="11"/>
                <w:color w:val="auto"/>
              </w:rPr>
              <w:t>US$(000)</w:t>
            </w:r>
          </w:p>
        </w:tc>
        <w:tc>
          <w:tcPr>
            <w:tcW w:w="840" w:type="dxa"/>
            <w:vAlign w:val="bottom"/>
          </w:tcPr>
          <w:p>
            <w:pPr>
              <w:jc w:val="right"/>
              <w:ind w:right="286"/>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right"/>
              <w:ind w:right="280"/>
              <w:spacing w:after="0"/>
              <w:rPr>
                <w:sz w:val="20"/>
                <w:szCs w:val="20"/>
                <w:color w:val="auto"/>
              </w:rPr>
            </w:pPr>
            <w:r>
              <w:rPr>
                <w:rFonts w:ascii="Arial" w:cs="Arial" w:eastAsia="Arial" w:hAnsi="Arial"/>
                <w:sz w:val="11"/>
                <w:szCs w:val="11"/>
                <w:color w:val="auto"/>
                <w:w w:val="84"/>
              </w:rPr>
              <w:t>US$(000)</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Banco de Crédito del Perú and Subsidiaries (i)</w:t>
            </w:r>
          </w:p>
        </w:tc>
        <w:tc>
          <w:tcPr>
            <w:tcW w:w="1200" w:type="dxa"/>
            <w:vAlign w:val="bottom"/>
            <w:shd w:val="clear" w:color="auto" w:fill="CCFFCC"/>
          </w:tcPr>
          <w:p>
            <w:pPr>
              <w:jc w:val="right"/>
              <w:ind w:right="386"/>
              <w:spacing w:after="0" w:line="122" w:lineRule="exact"/>
              <w:rPr>
                <w:sz w:val="20"/>
                <w:szCs w:val="20"/>
                <w:color w:val="auto"/>
              </w:rPr>
            </w:pPr>
            <w:r>
              <w:rPr>
                <w:rFonts w:ascii="Arial" w:cs="Arial" w:eastAsia="Arial" w:hAnsi="Arial"/>
                <w:sz w:val="11"/>
                <w:szCs w:val="11"/>
                <w:color w:val="auto"/>
              </w:rPr>
              <w:t>97.60</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97.41</w:t>
            </w:r>
          </w:p>
        </w:tc>
        <w:tc>
          <w:tcPr>
            <w:tcW w:w="200" w:type="dxa"/>
            <w:vAlign w:val="bottom"/>
            <w:shd w:val="clear" w:color="auto" w:fill="CCFFCC"/>
          </w:tcPr>
          <w:p>
            <w:pPr>
              <w:spacing w:after="0"/>
              <w:rPr>
                <w:sz w:val="10"/>
                <w:szCs w:val="10"/>
                <w:color w:val="auto"/>
              </w:rPr>
            </w:pPr>
          </w:p>
        </w:tc>
        <w:tc>
          <w:tcPr>
            <w:tcW w:w="88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25,376,947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19,563,309</w:t>
            </w:r>
          </w:p>
        </w:tc>
        <w:tc>
          <w:tcPr>
            <w:tcW w:w="960" w:type="dxa"/>
            <w:vAlign w:val="bottom"/>
            <w:gridSpan w:val="2"/>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23,383,760</w:t>
            </w:r>
          </w:p>
        </w:tc>
        <w:tc>
          <w:tcPr>
            <w:tcW w:w="8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17,886,706</w:t>
            </w:r>
          </w:p>
        </w:tc>
        <w:tc>
          <w:tcPr>
            <w:tcW w:w="84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1,993,187</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w w:val="97"/>
              </w:rPr>
              <w:t>1,676,603</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476,316</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397,378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line="122" w:lineRule="exact"/>
              <w:rPr>
                <w:sz w:val="20"/>
                <w:szCs w:val="20"/>
                <w:color w:val="auto"/>
              </w:rPr>
            </w:pPr>
            <w:r>
              <w:rPr>
                <w:rFonts w:ascii="Arial" w:cs="Arial" w:eastAsia="Arial" w:hAnsi="Arial"/>
                <w:sz w:val="11"/>
                <w:szCs w:val="11"/>
                <w:color w:val="auto"/>
              </w:rPr>
              <w:t>Atlantic Security Holding Corporation and Subsidiaries (ii)</w:t>
            </w:r>
          </w:p>
        </w:tc>
        <w:tc>
          <w:tcPr>
            <w:tcW w:w="12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100.00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100.00</w:t>
            </w:r>
          </w:p>
        </w:tc>
        <w:tc>
          <w:tcPr>
            <w:tcW w:w="200" w:type="dxa"/>
            <w:vAlign w:val="bottom"/>
          </w:tcPr>
          <w:p>
            <w:pPr>
              <w:spacing w:after="0"/>
              <w:rPr>
                <w:sz w:val="10"/>
                <w:szCs w:val="10"/>
                <w:color w:val="auto"/>
              </w:rPr>
            </w:pPr>
          </w:p>
        </w:tc>
        <w:tc>
          <w:tcPr>
            <w:tcW w:w="8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1,400,479</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1,483,811</w:t>
            </w:r>
          </w:p>
        </w:tc>
        <w:tc>
          <w:tcPr>
            <w:tcW w:w="96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1,162,691</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1,269,175</w:t>
            </w:r>
          </w:p>
        </w:tc>
        <w:tc>
          <w:tcPr>
            <w:tcW w:w="84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237,788</w:t>
            </w: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214,636</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48,801</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29,716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4"/>
              </w:rPr>
              <w:t>El Pacífico Peruano-Suiza Compañía de Seguros y Reaseguros and</w:t>
            </w:r>
          </w:p>
        </w:tc>
        <w:tc>
          <w:tcPr>
            <w:tcW w:w="120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80" w:type="dxa"/>
            <w:vAlign w:val="bottom"/>
            <w:shd w:val="clear" w:color="auto" w:fill="CCFFCC"/>
          </w:tcPr>
          <w:p>
            <w:pPr>
              <w:ind w:left="160"/>
              <w:spacing w:after="0"/>
              <w:rPr>
                <w:sz w:val="20"/>
                <w:szCs w:val="20"/>
                <w:color w:val="auto"/>
              </w:rPr>
            </w:pPr>
            <w:r>
              <w:rPr>
                <w:rFonts w:ascii="Arial" w:cs="Arial" w:eastAsia="Arial" w:hAnsi="Arial"/>
                <w:sz w:val="11"/>
                <w:szCs w:val="11"/>
                <w:color w:val="auto"/>
              </w:rPr>
              <w:t>Subsidiaries (iii)</w:t>
            </w:r>
          </w:p>
        </w:tc>
        <w:tc>
          <w:tcPr>
            <w:tcW w:w="1200" w:type="dxa"/>
            <w:vAlign w:val="bottom"/>
            <w:shd w:val="clear" w:color="auto" w:fill="CCFFCC"/>
          </w:tcPr>
          <w:p>
            <w:pPr>
              <w:jc w:val="right"/>
              <w:ind w:right="386"/>
              <w:spacing w:after="0"/>
              <w:rPr>
                <w:sz w:val="20"/>
                <w:szCs w:val="20"/>
                <w:color w:val="auto"/>
              </w:rPr>
            </w:pPr>
            <w:r>
              <w:rPr>
                <w:rFonts w:ascii="Arial" w:cs="Arial" w:eastAsia="Arial" w:hAnsi="Arial"/>
                <w:sz w:val="11"/>
                <w:szCs w:val="11"/>
                <w:color w:val="auto"/>
              </w:rPr>
              <w:t>97.26</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75.98</w:t>
            </w: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jc w:val="right"/>
              <w:ind w:right="226"/>
              <w:spacing w:after="0"/>
              <w:rPr>
                <w:sz w:val="20"/>
                <w:szCs w:val="20"/>
                <w:color w:val="auto"/>
              </w:rPr>
            </w:pPr>
            <w:r>
              <w:rPr>
                <w:rFonts w:ascii="Arial" w:cs="Arial" w:eastAsia="Arial" w:hAnsi="Arial"/>
                <w:sz w:val="11"/>
                <w:szCs w:val="11"/>
                <w:color w:val="auto"/>
              </w:rPr>
              <w:t>1,781,952</w:t>
            </w: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1,496,709</w:t>
            </w:r>
          </w:p>
        </w:tc>
        <w:tc>
          <w:tcPr>
            <w:tcW w:w="960" w:type="dxa"/>
            <w:vAlign w:val="bottom"/>
            <w:gridSpan w:val="2"/>
            <w:shd w:val="clear" w:color="auto" w:fill="CCFFCC"/>
          </w:tcPr>
          <w:p>
            <w:pPr>
              <w:jc w:val="right"/>
              <w:ind w:right="106"/>
              <w:spacing w:after="0"/>
              <w:rPr>
                <w:sz w:val="20"/>
                <w:szCs w:val="20"/>
                <w:color w:val="auto"/>
              </w:rPr>
            </w:pPr>
            <w:r>
              <w:rPr>
                <w:rFonts w:ascii="Arial" w:cs="Arial" w:eastAsia="Arial" w:hAnsi="Arial"/>
                <w:sz w:val="11"/>
                <w:szCs w:val="11"/>
                <w:color w:val="auto"/>
              </w:rPr>
              <w:t>1,366,883</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1,190,799</w:t>
            </w:r>
          </w:p>
        </w:tc>
        <w:tc>
          <w:tcPr>
            <w:tcW w:w="840" w:type="dxa"/>
            <w:vAlign w:val="bottom"/>
            <w:shd w:val="clear" w:color="auto" w:fill="CCFFCC"/>
          </w:tcPr>
          <w:p>
            <w:pPr>
              <w:jc w:val="right"/>
              <w:ind w:right="226"/>
              <w:spacing w:after="0"/>
              <w:rPr>
                <w:sz w:val="20"/>
                <w:szCs w:val="20"/>
                <w:color w:val="auto"/>
              </w:rPr>
            </w:pPr>
            <w:r>
              <w:rPr>
                <w:rFonts w:ascii="Arial" w:cs="Arial" w:eastAsia="Arial" w:hAnsi="Arial"/>
                <w:sz w:val="11"/>
                <w:szCs w:val="11"/>
                <w:color w:val="auto"/>
              </w:rPr>
              <w:t>415,069</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305,910</w:t>
            </w:r>
          </w:p>
        </w:tc>
        <w:tc>
          <w:tcPr>
            <w:tcW w:w="720" w:type="dxa"/>
            <w:vAlign w:val="bottom"/>
            <w:shd w:val="clear" w:color="auto" w:fill="CCFFCC"/>
          </w:tcPr>
          <w:p>
            <w:pPr>
              <w:jc w:val="right"/>
              <w:ind w:right="106"/>
              <w:spacing w:after="0"/>
              <w:rPr>
                <w:sz w:val="20"/>
                <w:szCs w:val="20"/>
                <w:color w:val="auto"/>
              </w:rPr>
            </w:pPr>
            <w:r>
              <w:rPr>
                <w:rFonts w:ascii="Arial" w:cs="Arial" w:eastAsia="Arial" w:hAnsi="Arial"/>
                <w:sz w:val="11"/>
                <w:szCs w:val="11"/>
                <w:color w:val="auto"/>
              </w:rPr>
              <w:t>54,552</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49,192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line="122" w:lineRule="exact"/>
              <w:rPr>
                <w:sz w:val="20"/>
                <w:szCs w:val="20"/>
                <w:color w:val="auto"/>
              </w:rPr>
            </w:pPr>
            <w:r>
              <w:rPr>
                <w:rFonts w:ascii="Arial" w:cs="Arial" w:eastAsia="Arial" w:hAnsi="Arial"/>
                <w:sz w:val="11"/>
                <w:szCs w:val="11"/>
                <w:color w:val="auto"/>
              </w:rPr>
              <w:t>Prima AFP S.A. (iv)</w:t>
            </w:r>
          </w:p>
        </w:tc>
        <w:tc>
          <w:tcPr>
            <w:tcW w:w="12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99.99</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99.99</w:t>
            </w:r>
          </w:p>
        </w:tc>
        <w:tc>
          <w:tcPr>
            <w:tcW w:w="200" w:type="dxa"/>
            <w:vAlign w:val="bottom"/>
          </w:tcPr>
          <w:p>
            <w:pPr>
              <w:spacing w:after="0"/>
              <w:rPr>
                <w:sz w:val="10"/>
                <w:szCs w:val="10"/>
                <w:color w:val="auto"/>
              </w:rPr>
            </w:pPr>
          </w:p>
        </w:tc>
        <w:tc>
          <w:tcPr>
            <w:tcW w:w="8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276,140</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253,140</w:t>
            </w:r>
          </w:p>
        </w:tc>
        <w:tc>
          <w:tcPr>
            <w:tcW w:w="96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92,437</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87,912</w:t>
            </w:r>
          </w:p>
        </w:tc>
        <w:tc>
          <w:tcPr>
            <w:tcW w:w="84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183,703</w:t>
            </w: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165,228</w:t>
            </w: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25,506</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20,796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Grupo Crédito S.A. and Subsidiaries (v)</w:t>
            </w:r>
          </w:p>
        </w:tc>
        <w:tc>
          <w:tcPr>
            <w:tcW w:w="1200" w:type="dxa"/>
            <w:vAlign w:val="bottom"/>
            <w:shd w:val="clear" w:color="auto" w:fill="CCFFCC"/>
          </w:tcPr>
          <w:p>
            <w:pPr>
              <w:jc w:val="right"/>
              <w:ind w:right="386"/>
              <w:spacing w:after="0" w:line="122" w:lineRule="exact"/>
              <w:rPr>
                <w:sz w:val="20"/>
                <w:szCs w:val="20"/>
                <w:color w:val="auto"/>
              </w:rPr>
            </w:pPr>
            <w:r>
              <w:rPr>
                <w:rFonts w:ascii="Arial" w:cs="Arial" w:eastAsia="Arial" w:hAnsi="Arial"/>
                <w:sz w:val="11"/>
                <w:szCs w:val="11"/>
                <w:color w:val="auto"/>
              </w:rPr>
              <w:t>99.99</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99.99</w:t>
            </w:r>
          </w:p>
        </w:tc>
        <w:tc>
          <w:tcPr>
            <w:tcW w:w="200" w:type="dxa"/>
            <w:vAlign w:val="bottom"/>
            <w:shd w:val="clear" w:color="auto" w:fill="CCFFCC"/>
          </w:tcPr>
          <w:p>
            <w:pPr>
              <w:spacing w:after="0"/>
              <w:rPr>
                <w:sz w:val="10"/>
                <w:szCs w:val="10"/>
                <w:color w:val="auto"/>
              </w:rPr>
            </w:pPr>
          </w:p>
        </w:tc>
        <w:tc>
          <w:tcPr>
            <w:tcW w:w="88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37,590</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123,809</w:t>
            </w:r>
          </w:p>
        </w:tc>
        <w:tc>
          <w:tcPr>
            <w:tcW w:w="960" w:type="dxa"/>
            <w:vAlign w:val="bottom"/>
            <w:gridSpan w:val="2"/>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21,404</w:t>
            </w:r>
          </w:p>
        </w:tc>
        <w:tc>
          <w:tcPr>
            <w:tcW w:w="8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71,855</w:t>
            </w:r>
          </w:p>
        </w:tc>
        <w:tc>
          <w:tcPr>
            <w:tcW w:w="84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16,186</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51,954</w:t>
            </w:r>
          </w:p>
        </w:tc>
        <w:tc>
          <w:tcPr>
            <w:tcW w:w="720" w:type="dxa"/>
            <w:vAlign w:val="bottom"/>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(2,424)</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5,497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tcPr>
          <w:p>
            <w:pPr>
              <w:spacing w:after="0" w:line="122" w:lineRule="exact"/>
              <w:rPr>
                <w:sz w:val="20"/>
                <w:szCs w:val="20"/>
                <w:color w:val="auto"/>
              </w:rPr>
            </w:pPr>
            <w:r>
              <w:rPr>
                <w:rFonts w:ascii="Arial" w:cs="Arial" w:eastAsia="Arial" w:hAnsi="Arial"/>
                <w:sz w:val="11"/>
                <w:szCs w:val="11"/>
                <w:color w:val="auto"/>
              </w:rPr>
              <w:t>CCR Inc. (vi)</w:t>
            </w:r>
          </w:p>
        </w:tc>
        <w:tc>
          <w:tcPr>
            <w:tcW w:w="1200" w:type="dxa"/>
            <w:vAlign w:val="bottom"/>
          </w:tcPr>
          <w:p>
            <w:pPr>
              <w:jc w:val="right"/>
              <w:ind w:right="386"/>
              <w:spacing w:after="0" w:line="122" w:lineRule="exact"/>
              <w:rPr>
                <w:sz w:val="20"/>
                <w:szCs w:val="20"/>
                <w:color w:val="auto"/>
              </w:rPr>
            </w:pPr>
            <w:r>
              <w:rPr>
                <w:rFonts w:ascii="Arial" w:cs="Arial" w:eastAsia="Arial" w:hAnsi="Arial"/>
                <w:sz w:val="11"/>
                <w:szCs w:val="11"/>
                <w:color w:val="auto"/>
              </w:rPr>
              <w:t>99.99</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99.99</w:t>
            </w:r>
          </w:p>
        </w:tc>
        <w:tc>
          <w:tcPr>
            <w:tcW w:w="200" w:type="dxa"/>
            <w:vAlign w:val="bottom"/>
          </w:tcPr>
          <w:p>
            <w:pPr>
              <w:spacing w:after="0"/>
              <w:rPr>
                <w:sz w:val="10"/>
                <w:szCs w:val="10"/>
                <w:color w:val="auto"/>
              </w:rPr>
            </w:pPr>
          </w:p>
        </w:tc>
        <w:tc>
          <w:tcPr>
            <w:tcW w:w="8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962,028</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1,089,659</w:t>
            </w:r>
          </w:p>
        </w:tc>
        <w:tc>
          <w:tcPr>
            <w:tcW w:w="96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1,028,393</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1,152,537</w:t>
            </w:r>
          </w:p>
        </w:tc>
        <w:tc>
          <w:tcPr>
            <w:tcW w:w="84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(66,365)</w:t>
            </w:r>
          </w:p>
        </w:tc>
        <w:tc>
          <w:tcPr>
            <w:tcW w:w="7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(62,878)</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(2,765)</w:t>
            </w: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Credicorp Securities Inc. (vii)</w:t>
            </w:r>
          </w:p>
        </w:tc>
        <w:tc>
          <w:tcPr>
            <w:tcW w:w="1200" w:type="dxa"/>
            <w:vAlign w:val="bottom"/>
            <w:shd w:val="clear" w:color="auto" w:fill="CCFFCC"/>
          </w:tcPr>
          <w:p>
            <w:pPr>
              <w:jc w:val="right"/>
              <w:ind w:right="386"/>
              <w:spacing w:after="0" w:line="122" w:lineRule="exact"/>
              <w:rPr>
                <w:sz w:val="20"/>
                <w:szCs w:val="20"/>
                <w:color w:val="auto"/>
              </w:rPr>
            </w:pPr>
            <w:r>
              <w:rPr>
                <w:rFonts w:ascii="Arial" w:cs="Arial" w:eastAsia="Arial" w:hAnsi="Arial"/>
                <w:sz w:val="11"/>
                <w:szCs w:val="11"/>
                <w:color w:val="auto"/>
              </w:rPr>
              <w:t>99.99</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99.99</w:t>
            </w:r>
          </w:p>
        </w:tc>
        <w:tc>
          <w:tcPr>
            <w:tcW w:w="200" w:type="dxa"/>
            <w:vAlign w:val="bottom"/>
            <w:shd w:val="clear" w:color="auto" w:fill="CCFFCC"/>
          </w:tcPr>
          <w:p>
            <w:pPr>
              <w:spacing w:after="0"/>
              <w:rPr>
                <w:sz w:val="10"/>
                <w:szCs w:val="10"/>
                <w:color w:val="auto"/>
              </w:rPr>
            </w:pPr>
          </w:p>
        </w:tc>
        <w:tc>
          <w:tcPr>
            <w:tcW w:w="88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4,048</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4,639</w:t>
            </w:r>
          </w:p>
        </w:tc>
        <w:tc>
          <w:tcPr>
            <w:tcW w:w="960" w:type="dxa"/>
            <w:vAlign w:val="bottom"/>
            <w:gridSpan w:val="2"/>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597</w:t>
            </w:r>
          </w:p>
        </w:tc>
        <w:tc>
          <w:tcPr>
            <w:tcW w:w="8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402</w:t>
            </w:r>
          </w:p>
        </w:tc>
        <w:tc>
          <w:tcPr>
            <w:tcW w:w="84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3,451</w:t>
            </w:r>
          </w:p>
        </w:tc>
        <w:tc>
          <w:tcPr>
            <w:tcW w:w="7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4,237</w:t>
            </w:r>
          </w:p>
        </w:tc>
        <w:tc>
          <w:tcPr>
            <w:tcW w:w="720" w:type="dxa"/>
            <w:vAlign w:val="bottom"/>
            <w:shd w:val="clear" w:color="auto" w:fill="CCFFCC"/>
          </w:tcPr>
          <w:p>
            <w:pPr>
              <w:jc w:val="right"/>
              <w:ind w:right="106"/>
              <w:spacing w:after="0" w:line="122" w:lineRule="exact"/>
              <w:rPr>
                <w:sz w:val="20"/>
                <w:szCs w:val="20"/>
                <w:color w:val="auto"/>
              </w:rPr>
            </w:pPr>
            <w:r>
              <w:rPr>
                <w:rFonts w:ascii="Arial" w:cs="Arial" w:eastAsia="Arial" w:hAnsi="Arial"/>
                <w:sz w:val="11"/>
                <w:szCs w:val="11"/>
                <w:color w:val="auto"/>
              </w:rPr>
              <w:t>1,998</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1,867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tcPr>
          <w:p>
            <w:pPr>
              <w:spacing w:after="0"/>
              <w:rPr>
                <w:sz w:val="20"/>
                <w:szCs w:val="20"/>
                <w:color w:val="auto"/>
              </w:rPr>
            </w:pPr>
            <w:r>
              <w:rPr>
                <w:rFonts w:ascii="Arial" w:cs="Arial" w:eastAsia="Arial" w:hAnsi="Arial"/>
                <w:sz w:val="11"/>
                <w:szCs w:val="11"/>
                <w:color w:val="auto"/>
              </w:rPr>
              <w:t>BCP Emisiones Latam 1 S.A. (viii)</w:t>
            </w:r>
          </w:p>
        </w:tc>
        <w:tc>
          <w:tcPr>
            <w:tcW w:w="1200" w:type="dxa"/>
            <w:vAlign w:val="bottom"/>
          </w:tcPr>
          <w:p>
            <w:pPr>
              <w:jc w:val="right"/>
              <w:ind w:right="386"/>
              <w:spacing w:after="0"/>
              <w:rPr>
                <w:sz w:val="20"/>
                <w:szCs w:val="20"/>
                <w:color w:val="auto"/>
              </w:rPr>
            </w:pPr>
            <w:r>
              <w:rPr>
                <w:rFonts w:ascii="Arial" w:cs="Arial" w:eastAsia="Arial" w:hAnsi="Arial"/>
                <w:sz w:val="11"/>
                <w:szCs w:val="11"/>
                <w:color w:val="auto"/>
              </w:rPr>
              <w:t>100.00</w:t>
            </w:r>
          </w:p>
        </w:tc>
        <w:tc>
          <w:tcPr>
            <w:tcW w:w="600" w:type="dxa"/>
            <w:vAlign w:val="bottom"/>
          </w:tcPr>
          <w:p>
            <w:pPr>
              <w:jc w:val="right"/>
              <w:spacing w:after="0"/>
              <w:rPr>
                <w:sz w:val="20"/>
                <w:szCs w:val="20"/>
                <w:color w:val="auto"/>
              </w:rPr>
            </w:pPr>
            <w:r>
              <w:rPr>
                <w:rFonts w:ascii="Arial" w:cs="Arial" w:eastAsia="Arial" w:hAnsi="Arial"/>
                <w:sz w:val="11"/>
                <w:szCs w:val="11"/>
                <w:color w:val="auto"/>
              </w:rPr>
              <w:t>100.00</w:t>
            </w:r>
          </w:p>
        </w:tc>
        <w:tc>
          <w:tcPr>
            <w:tcW w:w="200" w:type="dxa"/>
            <w:vAlign w:val="bottom"/>
          </w:tcPr>
          <w:p>
            <w:pPr>
              <w:spacing w:after="0"/>
              <w:rPr>
                <w:sz w:val="11"/>
                <w:szCs w:val="11"/>
                <w:color w:val="auto"/>
              </w:rPr>
            </w:pPr>
          </w:p>
        </w:tc>
        <w:tc>
          <w:tcPr>
            <w:tcW w:w="880" w:type="dxa"/>
            <w:vAlign w:val="bottom"/>
          </w:tcPr>
          <w:p>
            <w:pPr>
              <w:jc w:val="right"/>
              <w:ind w:right="226"/>
              <w:spacing w:after="0"/>
              <w:rPr>
                <w:sz w:val="20"/>
                <w:szCs w:val="20"/>
                <w:color w:val="auto"/>
              </w:rPr>
            </w:pPr>
            <w:r>
              <w:rPr>
                <w:rFonts w:ascii="Arial" w:cs="Arial" w:eastAsia="Arial" w:hAnsi="Arial"/>
                <w:sz w:val="11"/>
                <w:szCs w:val="11"/>
                <w:color w:val="auto"/>
              </w:rPr>
              <w:t>126,855</w:t>
            </w:r>
          </w:p>
        </w:tc>
        <w:tc>
          <w:tcPr>
            <w:tcW w:w="540" w:type="dxa"/>
            <w:vAlign w:val="bottom"/>
          </w:tcPr>
          <w:p>
            <w:pPr>
              <w:jc w:val="right"/>
              <w:spacing w:after="0"/>
              <w:rPr>
                <w:sz w:val="20"/>
                <w:szCs w:val="20"/>
                <w:color w:val="auto"/>
              </w:rPr>
            </w:pPr>
            <w:r>
              <w:rPr>
                <w:rFonts w:ascii="Arial" w:cs="Arial" w:eastAsia="Arial" w:hAnsi="Arial"/>
                <w:sz w:val="11"/>
                <w:szCs w:val="11"/>
                <w:color w:val="auto"/>
              </w:rPr>
              <w:t>115,127</w:t>
            </w:r>
          </w:p>
        </w:tc>
        <w:tc>
          <w:tcPr>
            <w:tcW w:w="960" w:type="dxa"/>
            <w:vAlign w:val="bottom"/>
            <w:gridSpan w:val="2"/>
          </w:tcPr>
          <w:p>
            <w:pPr>
              <w:jc w:val="right"/>
              <w:ind w:right="106"/>
              <w:spacing w:after="0"/>
              <w:rPr>
                <w:sz w:val="20"/>
                <w:szCs w:val="20"/>
                <w:color w:val="auto"/>
              </w:rPr>
            </w:pPr>
            <w:r>
              <w:rPr>
                <w:rFonts w:ascii="Arial" w:cs="Arial" w:eastAsia="Arial" w:hAnsi="Arial"/>
                <w:sz w:val="11"/>
                <w:szCs w:val="11"/>
                <w:color w:val="auto"/>
              </w:rPr>
              <w:t>126,191</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114,356</w:t>
            </w:r>
          </w:p>
        </w:tc>
        <w:tc>
          <w:tcPr>
            <w:tcW w:w="840" w:type="dxa"/>
            <w:vAlign w:val="bottom"/>
          </w:tcPr>
          <w:p>
            <w:pPr>
              <w:jc w:val="right"/>
              <w:ind w:right="226"/>
              <w:spacing w:after="0"/>
              <w:rPr>
                <w:sz w:val="20"/>
                <w:szCs w:val="20"/>
                <w:color w:val="auto"/>
              </w:rPr>
            </w:pPr>
            <w:r>
              <w:rPr>
                <w:rFonts w:ascii="Arial" w:cs="Arial" w:eastAsia="Arial" w:hAnsi="Arial"/>
                <w:sz w:val="11"/>
                <w:szCs w:val="11"/>
                <w:color w:val="auto"/>
              </w:rPr>
              <w:t>664</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771</w:t>
            </w:r>
          </w:p>
        </w:tc>
        <w:tc>
          <w:tcPr>
            <w:tcW w:w="720" w:type="dxa"/>
            <w:vAlign w:val="bottom"/>
          </w:tcPr>
          <w:p>
            <w:pPr>
              <w:jc w:val="right"/>
              <w:ind w:right="106"/>
              <w:spacing w:after="0"/>
              <w:rPr>
                <w:sz w:val="20"/>
                <w:szCs w:val="20"/>
                <w:color w:val="auto"/>
              </w:rPr>
            </w:pPr>
            <w:r>
              <w:rPr>
                <w:rFonts w:ascii="Arial" w:cs="Arial" w:eastAsia="Arial" w:hAnsi="Arial"/>
                <w:sz w:val="11"/>
                <w:szCs w:val="11"/>
                <w:color w:val="auto"/>
              </w:rPr>
              <w:t>109</w:t>
            </w: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60" w:right="20" w:hanging="652"/>
        <w:spacing w:after="0" w:line="270" w:lineRule="auto"/>
        <w:tabs>
          <w:tab w:leader="none" w:pos="11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Banco de Crédito del Perú (BCP) is a universal bank incorporated in Peru in 1889. Its activities are supervised by the Superintendence of Banking, Insurance and AFP (the Peruvian banking, insurance and AFP authority, hereafter “the SBS” for its Spanish acronym). During 2010 and 2009, Credicorp acquired 0.19 percent and 0.002 percent of BCP shares, respectively, owned by non-controlling interest. During 2010, Credicorp transferred BCP shares representing approximately 84.9 percent of BCP capital stock to its fully owned subsidiary Grupo Crédito S.A. This transfer had no effect in the accompanying consolidated financial statements; no gains or losses arose from the transfer. BCP and Subsidiaries hold as of December 31, 2010 and 2009, 95.92 percent of the capital stock of Banco de Crédito de Bolivia (BCB), a universal bank operating in Bolivia (Credicorp holds 4.08 percent). As of December 31, 2010, BCB´s assets, liabilities, equity, income and net income amounted to US$1,122.0, US$1,026.4, US$95.6, US$83.0 and US$15.8 million, respectively (US$1,097.8, US$991.2, US$106.6, US$108.3 and US$28.7 million, respectively, as of December 31, 2009).</w:t>
      </w:r>
    </w:p>
    <w:p>
      <w:pPr>
        <w:spacing w:after="0" w:line="181" w:lineRule="exact"/>
        <w:rPr>
          <w:rFonts w:ascii="Arial" w:cs="Arial" w:eastAsia="Arial" w:hAnsi="Arial"/>
          <w:sz w:val="17"/>
          <w:szCs w:val="17"/>
          <w:color w:val="auto"/>
        </w:rPr>
      </w:pPr>
    </w:p>
    <w:p>
      <w:pPr>
        <w:ind w:left="1160" w:right="160" w:hanging="652"/>
        <w:spacing w:after="0" w:line="259"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capital stock. Its most significant subsidiary is Atlantic Security Bank (ASB), which is incorporated in the Cayman Islands, and operates through branches and offices in Grand Cayman and the Republic of Panama; its main activity is private and institutional banking services and trustee administration.</w:t>
      </w:r>
    </w:p>
    <w:p>
      <w:pPr>
        <w:spacing w:after="0" w:line="186" w:lineRule="exact"/>
        <w:rPr>
          <w:rFonts w:ascii="Arial" w:cs="Arial" w:eastAsia="Arial" w:hAnsi="Arial"/>
          <w:sz w:val="18"/>
          <w:szCs w:val="18"/>
          <w:color w:val="auto"/>
        </w:rPr>
      </w:pPr>
    </w:p>
    <w:p>
      <w:pPr>
        <w:ind w:left="1160" w:right="100" w:hanging="652"/>
        <w:spacing w:after="0" w:line="259"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El Pacífico Peruano-Suiza Compañía de Seguros y Reaseguros (PPS) is incorporated in Peru, it provides property, casualty, life, health and personal insurance. Its main subsidiaries are El Pacífico Vida Compañía de Seguros y Reaseguros S.A. and Pacífico S.A. Entidad Prestadora de Salud (EPS). PPS and its subsidiaries activities are supervised by the SBS. As explained in more detail in note 2(a), on November 2010 the group acquired most of all non-controlling interest in this subsidiary.</w:t>
      </w:r>
    </w:p>
    <w:p>
      <w:pPr>
        <w:spacing w:after="0" w:line="186" w:lineRule="exact"/>
        <w:rPr>
          <w:rFonts w:ascii="Arial" w:cs="Arial" w:eastAsia="Arial" w:hAnsi="Arial"/>
          <w:sz w:val="18"/>
          <w:szCs w:val="18"/>
          <w:color w:val="auto"/>
        </w:rPr>
      </w:pPr>
    </w:p>
    <w:p>
      <w:pPr>
        <w:ind w:left="1160" w:hanging="652"/>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Prima AFP is a private pension fund administrator incorporated in Peru, whose activities are supervised by the SBS.</w:t>
      </w:r>
    </w:p>
    <w:p>
      <w:pPr>
        <w:spacing w:after="0" w:line="225" w:lineRule="exact"/>
        <w:rPr>
          <w:rFonts w:ascii="Arial" w:cs="Arial" w:eastAsia="Arial" w:hAnsi="Arial"/>
          <w:sz w:val="18"/>
          <w:szCs w:val="18"/>
          <w:color w:val="auto"/>
        </w:rPr>
      </w:pPr>
    </w:p>
    <w:p>
      <w:pPr>
        <w:ind w:left="1160" w:right="100" w:hanging="652"/>
        <w:spacing w:after="0" w:line="264"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 also holds part of the Group’s shares in Banco de Crédito del Perú, Prima AFP, PPS and BCP Emisiones Latam 1 S.A.. Grupo Crédito S.A. balances are presented net of its investments in said entities.</w:t>
      </w:r>
    </w:p>
    <w:p>
      <w:pPr>
        <w:spacing w:after="0" w:line="181" w:lineRule="exact"/>
        <w:rPr>
          <w:rFonts w:ascii="Arial" w:cs="Arial" w:eastAsia="Arial" w:hAnsi="Arial"/>
          <w:sz w:val="18"/>
          <w:szCs w:val="18"/>
          <w:color w:val="auto"/>
        </w:rPr>
      </w:pPr>
    </w:p>
    <w:p>
      <w:pPr>
        <w:ind w:left="1160" w:right="20" w:hanging="652"/>
        <w:spacing w:after="0" w:line="264"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CCR Inc., is a special purposes entity incorporated in The Bahamas in 2001, its main activity is to manage certain loans granted to BCP by foreign financial entities, note 15 (vii). These loans are collateralized by transactions performed by BCP. As of December 31, 2010 and 2009, the negative equity is generated by unrealized losses of cash flow hedge derivatives.</w:t>
      </w:r>
    </w:p>
    <w:p>
      <w:pPr>
        <w:spacing w:after="0" w:line="181" w:lineRule="exact"/>
        <w:rPr>
          <w:rFonts w:ascii="Arial" w:cs="Arial" w:eastAsia="Arial" w:hAnsi="Arial"/>
          <w:sz w:val="18"/>
          <w:szCs w:val="18"/>
          <w:color w:val="auto"/>
        </w:rPr>
      </w:pPr>
    </w:p>
    <w:p>
      <w:pPr>
        <w:ind w:left="1160" w:right="560" w:hanging="652"/>
        <w:spacing w:after="0" w:line="277"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began operations on January, 2003; it provides securities brokerage services, mainly to retail customers in Latin America.</w:t>
      </w:r>
    </w:p>
    <w:p>
      <w:pPr>
        <w:spacing w:after="0" w:line="170" w:lineRule="exact"/>
        <w:rPr>
          <w:rFonts w:ascii="Arial" w:cs="Arial" w:eastAsia="Arial" w:hAnsi="Arial"/>
          <w:sz w:val="18"/>
          <w:szCs w:val="18"/>
          <w:color w:val="auto"/>
        </w:rPr>
      </w:pPr>
    </w:p>
    <w:p>
      <w:pPr>
        <w:ind w:left="1160" w:right="20" w:hanging="652"/>
        <w:spacing w:after="0" w:line="277"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BCP Emisiones Latam 1 S.A., is a special purposes entity incorporated in Chile in 2009, through which the Group issued corporate bonds, see note 15(a)(i).</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23" w:lineRule="exact"/>
        <w:rPr>
          <w:rFonts w:ascii="Arial" w:cs="Arial" w:eastAsia="Arial" w:hAnsi="Arial"/>
          <w:sz w:val="18"/>
          <w:szCs w:val="18"/>
          <w:color w:val="auto"/>
        </w:rPr>
      </w:pPr>
    </w:p>
    <w:p>
      <w:pPr>
        <w:ind w:left="1140"/>
        <w:spacing w:after="0" w:line="273" w:lineRule="auto"/>
        <w:rPr>
          <w:rFonts w:ascii="Arial" w:cs="Arial" w:eastAsia="Arial" w:hAnsi="Arial"/>
          <w:sz w:val="18"/>
          <w:szCs w:val="18"/>
          <w:color w:val="auto"/>
        </w:rPr>
      </w:pPr>
      <w:r>
        <w:rPr>
          <w:rFonts w:ascii="Arial" w:cs="Arial" w:eastAsia="Arial" w:hAnsi="Arial"/>
          <w:sz w:val="17"/>
          <w:szCs w:val="17"/>
          <w:color w:val="auto"/>
        </w:rPr>
        <w:t>The Group has determined that its functional and presentation currency is the United States Dollar (U.S. Dollar or US$), because it reflects the economic substance of the underlying events and circumstances relevant to the Group, insofar as its main operations and/or transactions in the different countries where the Group operates such as: loans granted, financing obtained, sale of insurance premiums, interest income and expense, and that an important percentage of wages and purchases; are established and settled in U.S. Dollars.</w:t>
      </w:r>
    </w:p>
    <w:p>
      <w:pPr>
        <w:spacing w:after="0" w:line="176" w:lineRule="exact"/>
        <w:rPr>
          <w:rFonts w:ascii="Arial" w:cs="Arial" w:eastAsia="Arial" w:hAnsi="Arial"/>
          <w:sz w:val="18"/>
          <w:szCs w:val="18"/>
          <w:color w:val="auto"/>
        </w:rPr>
      </w:pPr>
    </w:p>
    <w:p>
      <w:pPr>
        <w:ind w:left="1140" w:right="12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statements of each of Credicorp’s subsidiaries are measured using the currency of the country in which each entity operates and are translated into U.S. Dollars (functional and presentation currency) as follows:</w:t>
      </w:r>
    </w:p>
    <w:p>
      <w:pPr>
        <w:spacing w:after="0" w:line="170" w:lineRule="exact"/>
        <w:rPr>
          <w:rFonts w:ascii="Arial" w:cs="Arial" w:eastAsia="Arial" w:hAnsi="Arial"/>
          <w:sz w:val="18"/>
          <w:szCs w:val="18"/>
          <w:color w:val="auto"/>
        </w:rPr>
      </w:pPr>
    </w:p>
    <w:p>
      <w:pPr>
        <w:ind w:left="1620" w:right="380" w:hanging="478"/>
        <w:spacing w:after="0" w:line="277"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Monetary assets and liabilities are translated at the free market exchange rate at the date of the consolidated statements of financial position.</w:t>
      </w:r>
    </w:p>
    <w:p>
      <w:pPr>
        <w:spacing w:after="0" w:line="170" w:lineRule="exact"/>
        <w:rPr>
          <w:rFonts w:ascii="Arial" w:cs="Arial" w:eastAsia="Arial" w:hAnsi="Arial"/>
          <w:sz w:val="18"/>
          <w:szCs w:val="18"/>
          <w:color w:val="auto"/>
        </w:rPr>
      </w:pPr>
    </w:p>
    <w:p>
      <w:pPr>
        <w:ind w:left="1620" w:hanging="478"/>
        <w:spacing w:after="0"/>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w:t>
      </w:r>
    </w:p>
    <w:p>
      <w:pPr>
        <w:spacing w:after="0" w:line="225" w:lineRule="exact"/>
        <w:rPr>
          <w:rFonts w:ascii="Arial" w:cs="Arial" w:eastAsia="Arial" w:hAnsi="Arial"/>
          <w:sz w:val="18"/>
          <w:szCs w:val="18"/>
          <w:color w:val="auto"/>
        </w:rPr>
      </w:pPr>
    </w:p>
    <w:p>
      <w:pPr>
        <w:ind w:left="1620" w:right="160" w:hanging="478"/>
        <w:spacing w:after="0" w:line="277"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25" w:lineRule="exact"/>
        <w:rPr>
          <w:sz w:val="20"/>
          <w:szCs w:val="20"/>
          <w:color w:val="auto"/>
        </w:rPr>
      </w:pPr>
    </w:p>
    <w:p>
      <w:pPr>
        <w:ind w:left="1160" w:hanging="652"/>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1140" w:right="20"/>
        <w:spacing w:after="0" w:line="253" w:lineRule="auto"/>
        <w:rPr>
          <w:rFonts w:ascii="Arial" w:cs="Arial" w:eastAsia="Arial" w:hAnsi="Arial"/>
          <w:sz w:val="18"/>
          <w:szCs w:val="18"/>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1" w:lineRule="exact"/>
        <w:rPr>
          <w:rFonts w:ascii="Arial" w:cs="Arial" w:eastAsia="Arial" w:hAnsi="Arial"/>
          <w:sz w:val="18"/>
          <w:szCs w:val="18"/>
          <w:color w:val="auto"/>
        </w:rPr>
      </w:pPr>
    </w:p>
    <w:p>
      <w:pPr>
        <w:ind w:left="1140" w:right="14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186"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25" w:lineRule="exact"/>
        <w:rPr>
          <w:sz w:val="20"/>
          <w:szCs w:val="20"/>
          <w:color w:val="auto"/>
        </w:rPr>
      </w:pPr>
    </w:p>
    <w:p>
      <w:pPr>
        <w:ind w:left="1160" w:hanging="652"/>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Insurance activities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Accounting policies for insurance activities</w:t>
      </w:r>
    </w:p>
    <w:p>
      <w:pPr>
        <w:spacing w:after="0" w:line="9" w:lineRule="exact"/>
        <w:rPr>
          <w:rFonts w:ascii="Arial" w:cs="Arial" w:eastAsia="Arial" w:hAnsi="Arial"/>
          <w:sz w:val="18"/>
          <w:szCs w:val="18"/>
          <w:color w:val="auto"/>
        </w:rPr>
      </w:pPr>
    </w:p>
    <w:p>
      <w:pPr>
        <w:ind w:left="1140" w:right="380"/>
        <w:spacing w:after="0" w:line="209" w:lineRule="auto"/>
        <w:rPr>
          <w:rFonts w:ascii="Arial" w:cs="Arial" w:eastAsia="Arial" w:hAnsi="Arial"/>
          <w:sz w:val="18"/>
          <w:szCs w:val="18"/>
          <w:color w:val="auto"/>
        </w:rPr>
      </w:pPr>
      <w:r>
        <w:rPr>
          <w:rFonts w:ascii="Arial" w:cs="Arial" w:eastAsia="Arial" w:hAnsi="Arial"/>
          <w:sz w:val="18"/>
          <w:szCs w:val="18"/>
          <w:color w:val="auto"/>
        </w:rPr>
        <w:t>For the adoption of IFRS4 “Insurance contracts”, Management concluded that USGAAP used as of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2004 was the relevant framework to be used, as permitted by IFRS 4.</w:t>
      </w:r>
    </w:p>
    <w:p>
      <w:pPr>
        <w:spacing w:after="0" w:line="20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Product classification:</w:t>
      </w:r>
    </w:p>
    <w:p>
      <w:pPr>
        <w:spacing w:after="0" w:line="23" w:lineRule="exact"/>
        <w:rPr>
          <w:rFonts w:ascii="Arial" w:cs="Arial" w:eastAsia="Arial" w:hAnsi="Arial"/>
          <w:sz w:val="18"/>
          <w:szCs w:val="18"/>
          <w:color w:val="auto"/>
        </w:rPr>
      </w:pPr>
    </w:p>
    <w:p>
      <w:pPr>
        <w:ind w:left="1140" w:right="80"/>
        <w:spacing w:after="0" w:line="253" w:lineRule="auto"/>
        <w:rPr>
          <w:rFonts w:ascii="Arial" w:cs="Arial" w:eastAsia="Arial" w:hAnsi="Arial"/>
          <w:sz w:val="18"/>
          <w:szCs w:val="18"/>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91" w:lineRule="exact"/>
        <w:rPr>
          <w:rFonts w:ascii="Arial" w:cs="Arial" w:eastAsia="Arial" w:hAnsi="Arial"/>
          <w:sz w:val="18"/>
          <w:szCs w:val="18"/>
          <w:color w:val="auto"/>
        </w:rPr>
      </w:pPr>
    </w:p>
    <w:p>
      <w:pPr>
        <w:ind w:left="1140" w:right="420"/>
        <w:spacing w:after="0" w:line="308" w:lineRule="auto"/>
        <w:rPr>
          <w:rFonts w:ascii="Arial" w:cs="Arial" w:eastAsia="Arial" w:hAnsi="Arial"/>
          <w:sz w:val="18"/>
          <w:szCs w:val="18"/>
          <w:color w:val="auto"/>
        </w:rPr>
      </w:pPr>
      <w:r>
        <w:rPr>
          <w:rFonts w:ascii="Arial" w:cs="Arial" w:eastAsia="Arial" w:hAnsi="Arial"/>
          <w:sz w:val="17"/>
          <w:szCs w:val="17"/>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46" w:lineRule="exact"/>
        <w:rPr>
          <w:rFonts w:ascii="Arial" w:cs="Arial" w:eastAsia="Arial" w:hAnsi="Arial"/>
          <w:sz w:val="18"/>
          <w:szCs w:val="18"/>
          <w:color w:val="auto"/>
        </w:rPr>
      </w:pPr>
    </w:p>
    <w:p>
      <w:pPr>
        <w:ind w:left="1140" w:right="140"/>
        <w:spacing w:after="0" w:line="277" w:lineRule="auto"/>
        <w:rPr>
          <w:rFonts w:ascii="Arial" w:cs="Arial" w:eastAsia="Arial" w:hAnsi="Arial"/>
          <w:sz w:val="18"/>
          <w:szCs w:val="18"/>
          <w:color w:val="auto"/>
        </w:rPr>
      </w:pPr>
      <w:r>
        <w:rPr>
          <w:rFonts w:ascii="Arial" w:cs="Arial" w:eastAsia="Arial" w:hAnsi="Arial"/>
          <w:sz w:val="18"/>
          <w:szCs w:val="18"/>
          <w:color w:val="auto"/>
        </w:rPr>
        <w:t>Life insurance contracts offered by the Group include retirement, disability, survival fixed pensions, traditional life and unit linked insurance contracts. The non-life insurance contracts mainly include motor, household, commercial and healthcare.</w:t>
      </w:r>
    </w:p>
    <w:p>
      <w:pPr>
        <w:spacing w:after="0" w:line="17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Reinsurance:</w:t>
      </w:r>
    </w:p>
    <w:p>
      <w:pPr>
        <w:spacing w:after="0" w:line="23" w:lineRule="exact"/>
        <w:rPr>
          <w:rFonts w:ascii="Arial" w:cs="Arial" w:eastAsia="Arial" w:hAnsi="Arial"/>
          <w:sz w:val="18"/>
          <w:szCs w:val="18"/>
          <w:color w:val="auto"/>
        </w:rPr>
      </w:pPr>
    </w:p>
    <w:p>
      <w:pPr>
        <w:ind w:left="1140" w:right="340"/>
        <w:spacing w:after="0" w:line="290" w:lineRule="auto"/>
        <w:rPr>
          <w:rFonts w:ascii="Arial" w:cs="Arial" w:eastAsia="Arial" w:hAnsi="Arial"/>
          <w:sz w:val="18"/>
          <w:szCs w:val="18"/>
          <w:color w:val="auto"/>
        </w:rPr>
      </w:pPr>
      <w:r>
        <w:rPr>
          <w:rFonts w:ascii="Arial" w:cs="Arial" w:eastAsia="Arial" w:hAnsi="Arial"/>
          <w:sz w:val="17"/>
          <w:szCs w:val="17"/>
          <w:color w:val="auto"/>
        </w:rPr>
        <w:t>The Group cedes insurance risk in the normal course of the operations for all of its businesses. Reinsurance assets represent balances due from reinsurance companies. Reinsurance ceded is placed on both a proportional and non–proportional basis.</w:t>
      </w:r>
    </w:p>
    <w:p>
      <w:pPr>
        <w:spacing w:after="0" w:line="161" w:lineRule="exact"/>
        <w:rPr>
          <w:rFonts w:ascii="Arial" w:cs="Arial" w:eastAsia="Arial" w:hAnsi="Arial"/>
          <w:sz w:val="18"/>
          <w:szCs w:val="18"/>
          <w:color w:val="auto"/>
        </w:rPr>
      </w:pPr>
    </w:p>
    <w:p>
      <w:pPr>
        <w:ind w:left="1140" w:right="160"/>
        <w:spacing w:after="0" w:line="308" w:lineRule="auto"/>
        <w:rPr>
          <w:rFonts w:ascii="Arial" w:cs="Arial" w:eastAsia="Arial" w:hAnsi="Arial"/>
          <w:sz w:val="18"/>
          <w:szCs w:val="18"/>
          <w:color w:val="auto"/>
        </w:rPr>
      </w:pPr>
      <w:r>
        <w:rPr>
          <w:rFonts w:ascii="Arial" w:cs="Arial" w:eastAsia="Arial" w:hAnsi="Arial"/>
          <w:sz w:val="17"/>
          <w:szCs w:val="17"/>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146" w:lineRule="exact"/>
        <w:rPr>
          <w:rFonts w:ascii="Arial" w:cs="Arial" w:eastAsia="Arial" w:hAnsi="Arial"/>
          <w:sz w:val="18"/>
          <w:szCs w:val="18"/>
          <w:color w:val="auto"/>
        </w:rPr>
      </w:pPr>
    </w:p>
    <w:p>
      <w:pPr>
        <w:ind w:left="1140" w:right="100"/>
        <w:spacing w:after="0" w:line="253" w:lineRule="auto"/>
        <w:rPr>
          <w:rFonts w:ascii="Arial" w:cs="Arial" w:eastAsia="Arial" w:hAnsi="Arial"/>
          <w:sz w:val="18"/>
          <w:szCs w:val="18"/>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Ceded reinsurance arrangements do not relieve the Group from its obligations to a policyholder.</w:t>
      </w:r>
    </w:p>
    <w:p>
      <w:pPr>
        <w:spacing w:after="0" w:line="210" w:lineRule="exact"/>
        <w:rPr>
          <w:rFonts w:ascii="Arial" w:cs="Arial" w:eastAsia="Arial" w:hAnsi="Arial"/>
          <w:sz w:val="18"/>
          <w:szCs w:val="18"/>
          <w:color w:val="auto"/>
        </w:rPr>
      </w:pPr>
    </w:p>
    <w:p>
      <w:pPr>
        <w:ind w:left="1140"/>
        <w:spacing w:after="0" w:line="264" w:lineRule="auto"/>
        <w:rPr>
          <w:rFonts w:ascii="Arial" w:cs="Arial" w:eastAsia="Arial" w:hAnsi="Arial"/>
          <w:sz w:val="18"/>
          <w:szCs w:val="18"/>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ind w:left="1140" w:right="260"/>
        <w:spacing w:after="0" w:line="286" w:lineRule="auto"/>
        <w:rPr>
          <w:sz w:val="20"/>
          <w:szCs w:val="20"/>
          <w:color w:val="auto"/>
        </w:rPr>
      </w:pPr>
      <w:r>
        <w:rPr>
          <w:rFonts w:ascii="Arial" w:cs="Arial" w:eastAsia="Arial" w:hAnsi="Arial"/>
          <w:sz w:val="17"/>
          <w:szCs w:val="17"/>
          <w:color w:val="auto"/>
        </w:rPr>
        <w:t>Premiums and claims are presented on a gross basis for both ceded and assumed reinsurance, see notes 22 and 23.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receivables</w:t>
      </w:r>
    </w:p>
    <w:p>
      <w:pPr>
        <w:spacing w:after="0" w:line="23" w:lineRule="exact"/>
        <w:rPr>
          <w:sz w:val="20"/>
          <w:szCs w:val="20"/>
          <w:color w:val="auto"/>
        </w:rPr>
      </w:pPr>
    </w:p>
    <w:p>
      <w:pPr>
        <w:ind w:left="1140" w:right="20"/>
        <w:spacing w:after="0" w:line="252" w:lineRule="auto"/>
        <w:rPr>
          <w:sz w:val="20"/>
          <w:szCs w:val="20"/>
          <w:color w:val="auto"/>
        </w:rPr>
      </w:pPr>
      <w:r>
        <w:rPr>
          <w:rFonts w:ascii="Arial" w:cs="Arial" w:eastAsia="Arial" w:hAnsi="Arial"/>
          <w:sz w:val="18"/>
          <w:szCs w:val="18"/>
          <w:color w:val="auto"/>
        </w:rPr>
        <w:t>Insurance receivables are recognized when due and measured on initial recognition at the fair value of the consideration received or receivable. Subsequent to initial recognition, insurance receivables are measured at amortized cost. As of December 31, 2010 and 2009 the carrying value of the insurance receivables is similar to its fair value due to its short term. The carrying value of insurance receivables is reviewed for impairment whenever events or circumstances indicate that the carrying amount may not be recoverable, with the impairment loss recorded in the consolidated income statement. Insurance receivables are derecognized when the derecognition criteria for financial assets, as described in Note 3(g), has been met.</w:t>
      </w:r>
    </w:p>
    <w:p>
      <w:pPr>
        <w:spacing w:after="0" w:line="1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 Linked” assets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“Unit- Linked” assets represent financial instruments held for purposes of funding a group of life insurance contracts and for which</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investment gains and losses accrue directly to the policyholders who bear the investment risk. Each account has specific objectives, and the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financial assets are carried at fair value. The balance of each account is legally segregated and is not subject to claims that arise out of any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other business of the Group. The liabilities for these accounts are equal to the account assets, net of the commission that the Group charges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 the Management of these contracts.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acquisition costs (DAC):</w:t>
      </w:r>
    </w:p>
    <w:p>
      <w:pPr>
        <w:spacing w:after="0" w:line="23"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Those direct costs that vary with and are related to traditional life and unit linked insurance contracts are deferred; all other acquisition costs are recognized as an expense when incurred. The acquisition costs comprise primarily agent commissions related to the underwriting and policy issuance costs.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83" w:right="41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460"/>
        <w:spacing w:after="0" w:line="277" w:lineRule="auto"/>
        <w:rPr>
          <w:sz w:val="20"/>
          <w:szCs w:val="20"/>
          <w:color w:val="auto"/>
        </w:rPr>
      </w:pPr>
      <w:r>
        <w:rPr>
          <w:rFonts w:ascii="Arial" w:cs="Arial" w:eastAsia="Arial" w:hAnsi="Arial"/>
          <w:sz w:val="18"/>
          <w:szCs w:val="18"/>
          <w:color w:val="auto"/>
        </w:rPr>
        <w:t>Subsequent to initial recognition, these costs are amortized on a straight line basis based on the averaged expiration period of the related insurance contracts. Amortization is recorded in the consolidated income statement.</w:t>
      </w:r>
    </w:p>
    <w:p>
      <w:pPr>
        <w:spacing w:after="0" w:line="170" w:lineRule="exact"/>
        <w:rPr>
          <w:sz w:val="20"/>
          <w:szCs w:val="20"/>
          <w:color w:val="auto"/>
        </w:rPr>
      </w:pPr>
    </w:p>
    <w:p>
      <w:pPr>
        <w:jc w:val="both"/>
        <w:ind w:left="1140" w:right="2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income statement. DAC is also considered in the liability adequacy test for each reporting period.</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Reinsurance commissions:</w:t>
      </w:r>
    </w:p>
    <w:p>
      <w:pPr>
        <w:spacing w:after="0" w:line="23" w:lineRule="exact"/>
        <w:rPr>
          <w:sz w:val="20"/>
          <w:szCs w:val="20"/>
          <w:color w:val="auto"/>
        </w:rPr>
      </w:pPr>
    </w:p>
    <w:p>
      <w:pPr>
        <w:ind w:left="1140" w:right="220"/>
        <w:spacing w:after="0" w:line="261"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coverage of the insurance contracts.</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contract liabilities:</w:t>
      </w:r>
    </w:p>
    <w:p>
      <w:pPr>
        <w:spacing w:after="0" w:line="23" w:lineRule="exact"/>
        <w:rPr>
          <w:sz w:val="20"/>
          <w:szCs w:val="20"/>
          <w:color w:val="auto"/>
        </w:rPr>
      </w:pPr>
    </w:p>
    <w:p>
      <w:pPr>
        <w:ind w:left="1620" w:hanging="478"/>
        <w:spacing w:after="0"/>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Life insurance liabilities are recognized when contracts are entered into.</w:t>
      </w:r>
    </w:p>
    <w:p>
      <w:pPr>
        <w:spacing w:after="0" w:line="210" w:lineRule="exact"/>
        <w:rPr>
          <w:rFonts w:ascii="Arial" w:cs="Arial" w:eastAsia="Arial" w:hAnsi="Arial"/>
          <w:sz w:val="18"/>
          <w:szCs w:val="18"/>
          <w:color w:val="auto"/>
        </w:rPr>
      </w:pPr>
    </w:p>
    <w:p>
      <w:pPr>
        <w:ind w:left="1620" w:right="20"/>
        <w:spacing w:after="0" w:line="291" w:lineRule="auto"/>
        <w:rPr>
          <w:rFonts w:ascii="Arial" w:cs="Arial" w:eastAsia="Arial" w:hAnsi="Arial"/>
          <w:sz w:val="18"/>
          <w:szCs w:val="18"/>
          <w:color w:val="auto"/>
        </w:rPr>
      </w:pPr>
      <w:r>
        <w:rPr>
          <w:rFonts w:ascii="Arial" w:cs="Arial" w:eastAsia="Arial" w:hAnsi="Arial"/>
          <w:sz w:val="16"/>
          <w:szCs w:val="16"/>
          <w:color w:val="auto"/>
        </w:rPr>
        <w:t>The liabilities of retirement, disability and survival fixed pensions are determined as the sum of the discounted value of expected future pensions to be paid during a defined or non defined period, computed upon the basis of mortality tables and discount interest</w:t>
      </w:r>
    </w:p>
    <w:p>
      <w:pPr>
        <w:ind w:left="1620" w:right="20"/>
        <w:spacing w:after="0" w:line="277" w:lineRule="auto"/>
        <w:rPr>
          <w:rFonts w:ascii="Arial" w:cs="Arial" w:eastAsia="Arial" w:hAnsi="Arial"/>
          <w:sz w:val="18"/>
          <w:szCs w:val="18"/>
          <w:color w:val="auto"/>
        </w:rPr>
      </w:pPr>
      <w:r>
        <w:rPr>
          <w:rFonts w:ascii="Arial" w:cs="Arial" w:eastAsia="Arial" w:hAnsi="Arial"/>
          <w:sz w:val="17"/>
          <w:szCs w:val="17"/>
          <w:color w:val="auto"/>
        </w:rPr>
        <w:t>rates. Traditional life and unit linked insurance contract liabilities are determined as the sum of the discounted value of expected future benefits, claims handling, administration expenses, policyholder options and guarantees and investment income, less the discounted value of the expected theoretical premiums that would be required to meet the future cash outflows.</w:t>
      </w:r>
    </w:p>
    <w:p>
      <w:pPr>
        <w:spacing w:after="0" w:line="173" w:lineRule="exact"/>
        <w:rPr>
          <w:rFonts w:ascii="Arial" w:cs="Arial" w:eastAsia="Arial" w:hAnsi="Arial"/>
          <w:sz w:val="18"/>
          <w:szCs w:val="18"/>
          <w:color w:val="auto"/>
        </w:rPr>
      </w:pPr>
    </w:p>
    <w:p>
      <w:pPr>
        <w:ind w:left="1620" w:right="240"/>
        <w:spacing w:after="0" w:line="264" w:lineRule="auto"/>
        <w:rPr>
          <w:rFonts w:ascii="Arial" w:cs="Arial" w:eastAsia="Arial" w:hAnsi="Arial"/>
          <w:sz w:val="18"/>
          <w:szCs w:val="18"/>
          <w:color w:val="auto"/>
        </w:rPr>
      </w:pPr>
      <w:r>
        <w:rPr>
          <w:rFonts w:ascii="Arial" w:cs="Arial" w:eastAsia="Arial" w:hAnsi="Arial"/>
          <w:sz w:val="18"/>
          <w:szCs w:val="18"/>
          <w:color w:val="auto"/>
        </w:rPr>
        <w:t>The liabilities of retirement, disability and survival fixed pensions and traditional life insurance contracts are based on assumptions established at the time the contract was issued. Current assumptions are used to update the interest accrued for unit linked insurance contracts.</w:t>
      </w:r>
    </w:p>
    <w:p>
      <w:pPr>
        <w:spacing w:after="0" w:line="181" w:lineRule="exact"/>
        <w:rPr>
          <w:rFonts w:ascii="Arial" w:cs="Arial" w:eastAsia="Arial" w:hAnsi="Arial"/>
          <w:sz w:val="18"/>
          <w:szCs w:val="18"/>
          <w:color w:val="auto"/>
        </w:rPr>
      </w:pPr>
    </w:p>
    <w:p>
      <w:pPr>
        <w:ind w:left="1620"/>
        <w:spacing w:after="0" w:line="273" w:lineRule="auto"/>
        <w:rPr>
          <w:rFonts w:ascii="Arial" w:cs="Arial" w:eastAsia="Arial" w:hAnsi="Arial"/>
          <w:sz w:val="18"/>
          <w:szCs w:val="18"/>
          <w:color w:val="auto"/>
        </w:rPr>
      </w:pPr>
      <w:r>
        <w:rPr>
          <w:rFonts w:ascii="Arial" w:cs="Arial" w:eastAsia="Arial" w:hAnsi="Arial"/>
          <w:sz w:val="17"/>
          <w:szCs w:val="17"/>
          <w:color w:val="auto"/>
        </w:rPr>
        <w:t>Furthermore, the liability for life insurance contracts comprises the provision for unearned premiums and unexpired risks, as well as for claims outstanding, which includes an estimate of the incurred but non-reported claims to the Group (hereinafter “IBNR”). IBNR reserves as of December 31, 2010 and 2009, were determined on the basis of the Chain Ladder methodology (a generally accepted actuarial method), whereby the weighted average of past claim development is projected into the future; the projection is based on the ratios of cumulative past claims. Adjustments to the liabilities at each reporting date are recorded in the consolidated income statement. The liability is derecognized when the contract expires, is discharged or is cancelled.</w:t>
      </w:r>
    </w:p>
    <w:p>
      <w:pPr>
        <w:spacing w:after="0" w:line="178" w:lineRule="exact"/>
        <w:rPr>
          <w:rFonts w:ascii="Arial" w:cs="Arial" w:eastAsia="Arial" w:hAnsi="Arial"/>
          <w:sz w:val="18"/>
          <w:szCs w:val="18"/>
          <w:color w:val="auto"/>
        </w:rPr>
      </w:pPr>
    </w:p>
    <w:p>
      <w:pPr>
        <w:ind w:left="1620" w:right="120"/>
        <w:spacing w:after="0" w:line="286" w:lineRule="auto"/>
        <w:rPr>
          <w:rFonts w:ascii="Arial" w:cs="Arial" w:eastAsia="Arial" w:hAnsi="Arial"/>
          <w:sz w:val="18"/>
          <w:szCs w:val="18"/>
          <w:color w:val="auto"/>
        </w:rPr>
      </w:pPr>
      <w:r>
        <w:rPr>
          <w:rFonts w:ascii="Arial" w:cs="Arial" w:eastAsia="Arial" w:hAnsi="Arial"/>
          <w:sz w:val="17"/>
          <w:szCs w:val="17"/>
          <w:color w:val="auto"/>
        </w:rPr>
        <w:t>At each reporting date, an assessment is made of whether the recognized life insurance liabilities are adequate, net of related DAC, by using an existing liability adequacy test as laid out under IFRS 4. As of December 31, 2010 and 2009, Management determined that the liabilities were adequate and; therefore, it has not recorded any additional life insurance liability.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hanging="478"/>
        <w:spacing w:after="0"/>
        <w:tabs>
          <w:tab w:leader="none" w:pos="1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Non-life insurance contract liabilities (which comprises general insurance and healthcare)</w:t>
      </w:r>
    </w:p>
    <w:p>
      <w:pPr>
        <w:spacing w:after="0" w:line="23" w:lineRule="exact"/>
        <w:rPr>
          <w:rFonts w:ascii="Arial" w:cs="Arial" w:eastAsia="Arial" w:hAnsi="Arial"/>
          <w:sz w:val="18"/>
          <w:szCs w:val="18"/>
          <w:color w:val="auto"/>
        </w:rPr>
      </w:pPr>
    </w:p>
    <w:p>
      <w:pPr>
        <w:ind w:left="1620" w:right="40"/>
        <w:spacing w:after="0" w:line="268" w:lineRule="auto"/>
        <w:rPr>
          <w:rFonts w:ascii="Arial" w:cs="Arial" w:eastAsia="Arial" w:hAnsi="Arial"/>
          <w:sz w:val="18"/>
          <w:szCs w:val="18"/>
          <w:color w:val="auto"/>
        </w:rPr>
      </w:pPr>
      <w:r>
        <w:rPr>
          <w:rFonts w:ascii="Arial" w:cs="Arial" w:eastAsia="Arial" w:hAnsi="Arial"/>
          <w:sz w:val="17"/>
          <w:szCs w:val="17"/>
          <w:color w:val="auto"/>
        </w:rPr>
        <w:t>Non-life insurance contract liabilities are recognized when contracts are entered into. These liabilities are known as the outstanding claims provision, which are based on the estimated ultimate cost of all claims incurred but not settled at the date of the consolidated statements of financial position,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date of the consolidated statements of financial position. IBNR are estimated and included in the provision (liabilities). IBNR reserves as of December 31, 2010 and 2009,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179" w:lineRule="exact"/>
        <w:rPr>
          <w:rFonts w:ascii="Arial" w:cs="Arial" w:eastAsia="Arial" w:hAnsi="Arial"/>
          <w:sz w:val="18"/>
          <w:szCs w:val="18"/>
          <w:color w:val="auto"/>
        </w:rPr>
      </w:pPr>
    </w:p>
    <w:p>
      <w:pPr>
        <w:ind w:left="1620" w:right="560"/>
        <w:spacing w:after="0" w:line="277" w:lineRule="auto"/>
        <w:rPr>
          <w:rFonts w:ascii="Arial" w:cs="Arial" w:eastAsia="Arial" w:hAnsi="Arial"/>
          <w:sz w:val="18"/>
          <w:szCs w:val="18"/>
          <w:color w:val="auto"/>
        </w:rPr>
      </w:pPr>
      <w:r>
        <w:rPr>
          <w:rFonts w:ascii="Arial" w:cs="Arial" w:eastAsia="Arial" w:hAnsi="Arial"/>
          <w:sz w:val="18"/>
          <w:szCs w:val="18"/>
          <w:color w:val="auto"/>
        </w:rPr>
        <w:t>The provision for unearned premiums represents premiums received for risks that have not yet expired. Generally the reserve is released over the term of the contract and is recognized as premium income.</w:t>
      </w:r>
    </w:p>
    <w:p>
      <w:pPr>
        <w:spacing w:after="0" w:line="170" w:lineRule="exact"/>
        <w:rPr>
          <w:rFonts w:ascii="Arial" w:cs="Arial" w:eastAsia="Arial" w:hAnsi="Arial"/>
          <w:sz w:val="18"/>
          <w:szCs w:val="18"/>
          <w:color w:val="auto"/>
        </w:rPr>
      </w:pPr>
    </w:p>
    <w:p>
      <w:pPr>
        <w:ind w:left="1620"/>
        <w:spacing w:after="0" w:line="257" w:lineRule="auto"/>
        <w:rPr>
          <w:rFonts w:ascii="Arial" w:cs="Arial" w:eastAsia="Arial" w:hAnsi="Arial"/>
          <w:sz w:val="18"/>
          <w:szCs w:val="18"/>
          <w:color w:val="auto"/>
        </w:rPr>
      </w:pPr>
      <w:r>
        <w:rPr>
          <w:rFonts w:ascii="Arial" w:cs="Arial" w:eastAsia="Arial" w:hAnsi="Arial"/>
          <w:sz w:val="18"/>
          <w:szCs w:val="18"/>
          <w:color w:val="auto"/>
        </w:rPr>
        <w:t>At each reporting date the Group reviews its unexpired risk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income statement by setting up a provision for liability adequacy. As of December 31, 2010 and 2009, Management determined that the liabilities were adequate; therefore, it has not recorded any additional non life insurance liabilities.</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recognition:</w:t>
      </w:r>
    </w:p>
    <w:p>
      <w:pPr>
        <w:spacing w:after="0" w:line="23" w:lineRule="exact"/>
        <w:rPr>
          <w:sz w:val="20"/>
          <w:szCs w:val="20"/>
          <w:color w:val="auto"/>
        </w:rPr>
      </w:pPr>
    </w:p>
    <w:p>
      <w:pPr>
        <w:ind w:left="1620" w:hanging="478"/>
        <w:spacing w:after="0"/>
        <w:tabs>
          <w:tab w:leader="none" w:pos="1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Life insurance contracts</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due from policyholder.</w:t>
      </w:r>
    </w:p>
    <w:p>
      <w:pPr>
        <w:spacing w:after="0" w:line="21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Non-life insurance contracts</w:t>
      </w:r>
    </w:p>
    <w:p>
      <w:pPr>
        <w:spacing w:after="0" w:line="23" w:lineRule="exact"/>
        <w:rPr>
          <w:rFonts w:ascii="Arial" w:cs="Arial" w:eastAsia="Arial" w:hAnsi="Arial"/>
          <w:sz w:val="18"/>
          <w:szCs w:val="18"/>
          <w:color w:val="auto"/>
        </w:rPr>
      </w:pPr>
    </w:p>
    <w:p>
      <w:pPr>
        <w:ind w:left="1620" w:right="240"/>
        <w:spacing w:after="0" w:line="254" w:lineRule="auto"/>
        <w:rPr>
          <w:rFonts w:ascii="Arial" w:cs="Arial" w:eastAsia="Arial" w:hAnsi="Arial"/>
          <w:sz w:val="18"/>
          <w:szCs w:val="18"/>
          <w:color w:val="auto"/>
        </w:rPr>
      </w:pPr>
      <w:r>
        <w:rPr>
          <w:rFonts w:ascii="Arial" w:cs="Arial" w:eastAsia="Arial" w:hAnsi="Arial"/>
          <w:sz w:val="18"/>
          <w:szCs w:val="18"/>
          <w:color w:val="auto"/>
        </w:rPr>
        <w:t>Gross non-life insurance direct and assumed premiums comprise the total premiums written and are recognized at the contract inception as a receivable. At the same time, it is recorded a reserve for unearned premiums which represents premiums for risks that have not yet expired. Unearned premiums are recognized into income over the contract period which is also the coverage and risk period.</w:t>
      </w:r>
    </w:p>
    <w:p>
      <w:pPr>
        <w:spacing w:after="0" w:line="189" w:lineRule="exact"/>
        <w:rPr>
          <w:rFonts w:ascii="Arial" w:cs="Arial" w:eastAsia="Arial" w:hAnsi="Arial"/>
          <w:sz w:val="18"/>
          <w:szCs w:val="18"/>
          <w:color w:val="auto"/>
        </w:rPr>
      </w:pPr>
    </w:p>
    <w:p>
      <w:pPr>
        <w:ind w:left="1620" w:hanging="478"/>
        <w:spacing w:after="0"/>
        <w:tabs>
          <w:tab w:leader="none" w:pos="16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3" w:lineRule="exact"/>
        <w:rPr>
          <w:rFonts w:ascii="Arial" w:cs="Arial" w:eastAsia="Arial" w:hAnsi="Arial"/>
          <w:sz w:val="18"/>
          <w:szCs w:val="18"/>
          <w:color w:val="auto"/>
        </w:rPr>
      </w:pPr>
    </w:p>
    <w:p>
      <w:pPr>
        <w:ind w:left="1620" w:right="740"/>
        <w:spacing w:after="0" w:line="323" w:lineRule="auto"/>
        <w:rPr>
          <w:rFonts w:ascii="Arial" w:cs="Arial" w:eastAsia="Arial" w:hAnsi="Arial"/>
          <w:sz w:val="18"/>
          <w:szCs w:val="18"/>
          <w:color w:val="auto"/>
        </w:rPr>
      </w:pPr>
      <w:r>
        <w:rPr>
          <w:rFonts w:ascii="Arial" w:cs="Arial" w:eastAsia="Arial" w:hAnsi="Arial"/>
          <w:sz w:val="16"/>
          <w:szCs w:val="16"/>
          <w:color w:val="auto"/>
        </w:rPr>
        <w:t>Unit linked insurance contract policyholders are charged for policy administration services, investment management services, surrenders and other contract fees. These fees are recognized as revenue in the consolidated income statement when due.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Benefits, claims and expenses recognition:</w:t>
      </w:r>
    </w:p>
    <w:p>
      <w:pPr>
        <w:spacing w:after="0" w:line="23" w:lineRule="exact"/>
        <w:rPr>
          <w:sz w:val="20"/>
          <w:szCs w:val="20"/>
          <w:color w:val="auto"/>
        </w:rPr>
      </w:pPr>
    </w:p>
    <w:p>
      <w:pPr>
        <w:ind w:left="1620" w:hanging="478"/>
        <w:spacing w:after="0"/>
        <w:tabs>
          <w:tab w:leader="none" w:pos="1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9" w:lineRule="exact"/>
        <w:rPr>
          <w:rFonts w:ascii="Arial" w:cs="Arial" w:eastAsia="Arial" w:hAnsi="Arial"/>
          <w:sz w:val="18"/>
          <w:szCs w:val="18"/>
          <w:color w:val="auto"/>
        </w:rPr>
      </w:pPr>
    </w:p>
    <w:p>
      <w:pPr>
        <w:ind w:left="1620" w:right="80"/>
        <w:spacing w:after="0" w:line="277" w:lineRule="auto"/>
        <w:rPr>
          <w:rFonts w:ascii="Arial" w:cs="Arial" w:eastAsia="Arial" w:hAnsi="Arial"/>
          <w:sz w:val="18"/>
          <w:szCs w:val="18"/>
          <w:color w:val="auto"/>
        </w:rPr>
      </w:pPr>
      <w:r>
        <w:rPr>
          <w:rFonts w:ascii="Arial" w:cs="Arial" w:eastAsia="Arial" w:hAnsi="Arial"/>
          <w:sz w:val="17"/>
          <w:szCs w:val="17"/>
          <w:color w:val="auto"/>
        </w:rPr>
        <w:t>Gross benefits and claims for life insurance contracts include the cost of all claims arising during the year including internal and external claims handling costs that are directly related to the processing and settlement of claims. Death, survival and disability claims are recorded on the basis of notifications received. Pension payments are recorded when due.</w:t>
      </w:r>
    </w:p>
    <w:p>
      <w:pPr>
        <w:spacing w:after="0" w:line="173"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General insurance and health claims includes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hanging="478"/>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3" w:lineRule="exact"/>
        <w:rPr>
          <w:rFonts w:ascii="Arial" w:cs="Arial" w:eastAsia="Arial" w:hAnsi="Arial"/>
          <w:sz w:val="18"/>
          <w:szCs w:val="18"/>
          <w:color w:val="auto"/>
        </w:rPr>
      </w:pPr>
    </w:p>
    <w:p>
      <w:pPr>
        <w:ind w:left="1620" w:right="20"/>
        <w:spacing w:after="0" w:line="323" w:lineRule="auto"/>
        <w:rPr>
          <w:rFonts w:ascii="Arial" w:cs="Arial" w:eastAsia="Arial" w:hAnsi="Arial"/>
          <w:sz w:val="18"/>
          <w:szCs w:val="18"/>
          <w:color w:val="auto"/>
        </w:rPr>
      </w:pPr>
      <w:r>
        <w:rPr>
          <w:rFonts w:ascii="Arial" w:cs="Arial" w:eastAsia="Arial" w:hAnsi="Arial"/>
          <w:sz w:val="16"/>
          <w:szCs w:val="16"/>
          <w:color w:val="auto"/>
        </w:rPr>
        <w:t>Comprise the total premiums payable for the whole coverage provided by contracts entered in the period and are recognized on the date on which the policy incepts. Unearned reinsurance premiums are deferred over the term of the underlying insurance contract.</w:t>
      </w:r>
    </w:p>
    <w:p>
      <w:pPr>
        <w:spacing w:after="0" w:line="138" w:lineRule="exact"/>
        <w:rPr>
          <w:rFonts w:ascii="Arial" w:cs="Arial" w:eastAsia="Arial" w:hAnsi="Arial"/>
          <w:sz w:val="18"/>
          <w:szCs w:val="18"/>
          <w:color w:val="auto"/>
        </w:rPr>
      </w:pPr>
    </w:p>
    <w:p>
      <w:pPr>
        <w:ind w:left="1620" w:hanging="478"/>
        <w:spacing w:after="0"/>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33" w:lineRule="exact"/>
        <w:rPr>
          <w:rFonts w:ascii="Arial" w:cs="Arial" w:eastAsia="Arial" w:hAnsi="Arial"/>
          <w:sz w:val="18"/>
          <w:szCs w:val="18"/>
          <w:color w:val="auto"/>
        </w:rPr>
      </w:pPr>
    </w:p>
    <w:p>
      <w:pPr>
        <w:ind w:left="1160" w:hanging="652"/>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ind w:left="1140" w:right="60"/>
        <w:spacing w:after="0" w:line="255"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190" w:lineRule="exact"/>
        <w:rPr>
          <w:rFonts w:ascii="Arial" w:cs="Arial" w:eastAsia="Arial" w:hAnsi="Arial"/>
          <w:sz w:val="18"/>
          <w:szCs w:val="18"/>
          <w:color w:val="auto"/>
        </w:rPr>
      </w:pPr>
    </w:p>
    <w:p>
      <w:pPr>
        <w:ind w:left="1140" w:right="20"/>
        <w:spacing w:after="0" w:line="259" w:lineRule="auto"/>
        <w:rPr>
          <w:rFonts w:ascii="Arial" w:cs="Arial" w:eastAsia="Arial" w:hAnsi="Arial"/>
          <w:sz w:val="18"/>
          <w:szCs w:val="18"/>
          <w:color w:val="auto"/>
        </w:rPr>
      </w:pPr>
      <w:r>
        <w:rPr>
          <w:rFonts w:ascii="Arial" w:cs="Arial" w:eastAsia="Arial" w:hAnsi="Arial"/>
          <w:sz w:val="18"/>
          <w:szCs w:val="18"/>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86" w:lineRule="exact"/>
        <w:rPr>
          <w:rFonts w:ascii="Arial" w:cs="Arial" w:eastAsia="Arial" w:hAnsi="Arial"/>
          <w:sz w:val="18"/>
          <w:szCs w:val="18"/>
          <w:color w:val="auto"/>
        </w:rPr>
      </w:pPr>
    </w:p>
    <w:p>
      <w:pPr>
        <w:jc w:val="both"/>
        <w:ind w:left="1140" w:right="620"/>
        <w:spacing w:after="0" w:line="264" w:lineRule="auto"/>
        <w:rPr>
          <w:rFonts w:ascii="Arial" w:cs="Arial" w:eastAsia="Arial" w:hAnsi="Arial"/>
          <w:sz w:val="18"/>
          <w:szCs w:val="18"/>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181" w:lineRule="exact"/>
        <w:rPr>
          <w:rFonts w:ascii="Arial" w:cs="Arial" w:eastAsia="Arial" w:hAnsi="Arial"/>
          <w:sz w:val="18"/>
          <w:szCs w:val="18"/>
          <w:color w:val="auto"/>
        </w:rPr>
      </w:pPr>
    </w:p>
    <w:p>
      <w:pPr>
        <w:ind w:left="1620" w:hanging="478"/>
        <w:spacing w:after="0"/>
        <w:tabs>
          <w:tab w:leader="none" w:pos="1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3" w:lineRule="exact"/>
        <w:rPr>
          <w:rFonts w:ascii="Arial" w:cs="Arial" w:eastAsia="Arial" w:hAnsi="Arial"/>
          <w:sz w:val="18"/>
          <w:szCs w:val="18"/>
          <w:color w:val="auto"/>
        </w:rPr>
      </w:pPr>
    </w:p>
    <w:p>
      <w:pPr>
        <w:ind w:left="1620" w:right="60"/>
        <w:spacing w:after="0" w:line="277" w:lineRule="auto"/>
        <w:rPr>
          <w:rFonts w:ascii="Arial" w:cs="Arial" w:eastAsia="Arial" w:hAnsi="Arial"/>
          <w:sz w:val="18"/>
          <w:szCs w:val="18"/>
          <w:color w:val="auto"/>
        </w:rPr>
      </w:pPr>
      <w:r>
        <w:rPr>
          <w:rFonts w:ascii="Arial" w:cs="Arial" w:eastAsia="Arial" w:hAnsi="Arial"/>
          <w:sz w:val="17"/>
          <w:szCs w:val="17"/>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173" w:lineRule="exact"/>
        <w:rPr>
          <w:rFonts w:ascii="Arial" w:cs="Arial" w:eastAsia="Arial" w:hAnsi="Arial"/>
          <w:sz w:val="18"/>
          <w:szCs w:val="18"/>
          <w:color w:val="auto"/>
        </w:rPr>
      </w:pPr>
    </w:p>
    <w:p>
      <w:pPr>
        <w:ind w:left="1620" w:right="40"/>
        <w:spacing w:after="0" w:line="277" w:lineRule="auto"/>
        <w:rPr>
          <w:rFonts w:ascii="Arial" w:cs="Arial" w:eastAsia="Arial" w:hAnsi="Arial"/>
          <w:sz w:val="18"/>
          <w:szCs w:val="18"/>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70" w:lineRule="exact"/>
        <w:rPr>
          <w:rFonts w:ascii="Arial" w:cs="Arial" w:eastAsia="Arial" w:hAnsi="Arial"/>
          <w:sz w:val="18"/>
          <w:szCs w:val="18"/>
          <w:color w:val="auto"/>
        </w:rPr>
      </w:pPr>
    </w:p>
    <w:p>
      <w:pPr>
        <w:ind w:left="1620" w:right="160"/>
        <w:spacing w:after="0" w:line="277" w:lineRule="auto"/>
        <w:rPr>
          <w:rFonts w:ascii="Arial" w:cs="Arial" w:eastAsia="Arial" w:hAnsi="Arial"/>
          <w:sz w:val="18"/>
          <w:szCs w:val="18"/>
          <w:color w:val="auto"/>
        </w:rPr>
      </w:pPr>
      <w:r>
        <w:rPr>
          <w:rFonts w:ascii="Arial" w:cs="Arial" w:eastAsia="Arial" w:hAnsi="Arial"/>
          <w:sz w:val="18"/>
          <w:szCs w:val="18"/>
          <w:color w:val="auto"/>
        </w:rPr>
        <w:t>Management may only designate an instrument at fair value through profit or loss upon initial recognition when the following criteria are met:</w:t>
      </w:r>
    </w:p>
    <w:p>
      <w:pPr>
        <w:spacing w:after="0" w:line="170" w:lineRule="exact"/>
        <w:rPr>
          <w:rFonts w:ascii="Arial" w:cs="Arial" w:eastAsia="Arial" w:hAnsi="Arial"/>
          <w:sz w:val="18"/>
          <w:szCs w:val="18"/>
          <w:color w:val="auto"/>
        </w:rPr>
      </w:pPr>
    </w:p>
    <w:p>
      <w:pPr>
        <w:ind w:left="2120" w:hanging="491"/>
        <w:spacing w:after="0" w:line="277" w:lineRule="auto"/>
        <w:tabs>
          <w:tab w:leader="none" w:pos="212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70" w:lineRule="exact"/>
        <w:rPr>
          <w:rFonts w:ascii="Arial" w:cs="Arial" w:eastAsia="Arial" w:hAnsi="Arial"/>
          <w:sz w:val="18"/>
          <w:szCs w:val="18"/>
          <w:color w:val="auto"/>
        </w:rPr>
      </w:pPr>
    </w:p>
    <w:p>
      <w:pPr>
        <w:ind w:left="2120" w:right="500" w:hanging="491"/>
        <w:spacing w:after="0" w:line="342" w:lineRule="auto"/>
        <w:tabs>
          <w:tab w:leader="none" w:pos="2120" w:val="left"/>
        </w:tabs>
        <w:numPr>
          <w:ilvl w:val="2"/>
          <w:numId w:val="169"/>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120" w:right="240" w:hanging="491"/>
        <w:spacing w:after="0" w:line="277" w:lineRule="auto"/>
        <w:tabs>
          <w:tab w:leader="none" w:pos="2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70" w:lineRule="exact"/>
        <w:rPr>
          <w:sz w:val="20"/>
          <w:szCs w:val="20"/>
          <w:color w:val="auto"/>
        </w:rPr>
      </w:pPr>
    </w:p>
    <w:p>
      <w:pPr>
        <w:jc w:val="both"/>
        <w:ind w:left="1620" w:right="160"/>
        <w:spacing w:after="0" w:line="279" w:lineRule="auto"/>
        <w:rPr>
          <w:sz w:val="20"/>
          <w:szCs w:val="20"/>
          <w:color w:val="auto"/>
        </w:rPr>
      </w:pPr>
      <w:r>
        <w:rPr>
          <w:rFonts w:ascii="Arial" w:cs="Arial" w:eastAsia="Arial" w:hAnsi="Arial"/>
          <w:sz w:val="17"/>
          <w:szCs w:val="17"/>
          <w:color w:val="auto"/>
        </w:rPr>
        <w:t>Changes in fair value of designated financial assets through profit or loss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 Dividend income is recorded when the collection right has been established.</w:t>
      </w:r>
    </w:p>
    <w:p>
      <w:pPr>
        <w:spacing w:after="0" w:line="171" w:lineRule="exact"/>
        <w:rPr>
          <w:sz w:val="20"/>
          <w:szCs w:val="20"/>
          <w:color w:val="auto"/>
        </w:rPr>
      </w:pPr>
    </w:p>
    <w:p>
      <w:pPr>
        <w:ind w:left="1620" w:hanging="478"/>
        <w:spacing w:after="0"/>
        <w:tabs>
          <w:tab w:leader="none" w:pos="1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180"/>
        <w:spacing w:after="0" w:line="257" w:lineRule="auto"/>
        <w:rPr>
          <w:sz w:val="20"/>
          <w:szCs w:val="20"/>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188" w:lineRule="exact"/>
        <w:rPr>
          <w:sz w:val="20"/>
          <w:szCs w:val="20"/>
          <w:color w:val="auto"/>
        </w:rPr>
      </w:pPr>
    </w:p>
    <w:p>
      <w:pPr>
        <w:ind w:left="1620" w:right="220"/>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81" w:lineRule="exact"/>
        <w:rPr>
          <w:sz w:val="20"/>
          <w:szCs w:val="20"/>
          <w:color w:val="auto"/>
        </w:rPr>
      </w:pPr>
    </w:p>
    <w:p>
      <w:pPr>
        <w:ind w:left="1620" w:right="420"/>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in the internal risk classification and considering any guarantees and collaterals received, note 3(i) and 29.1.</w:t>
      </w:r>
    </w:p>
    <w:p>
      <w:pPr>
        <w:spacing w:after="0" w:line="181" w:lineRule="exact"/>
        <w:rPr>
          <w:sz w:val="20"/>
          <w:szCs w:val="20"/>
          <w:color w:val="auto"/>
        </w:rPr>
      </w:pPr>
    </w:p>
    <w:p>
      <w:pPr>
        <w:ind w:left="1620" w:hanging="478"/>
        <w:spacing w:after="0"/>
        <w:tabs>
          <w:tab w:leader="none" w:pos="1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100"/>
        <w:spacing w:after="0" w:line="254" w:lineRule="auto"/>
        <w:rPr>
          <w:rFonts w:ascii="Arial" w:cs="Arial" w:eastAsia="Arial" w:hAnsi="Arial"/>
          <w:sz w:val="18"/>
          <w:szCs w:val="18"/>
          <w:color w:val="auto"/>
        </w:rPr>
      </w:pPr>
      <w:r>
        <w:rPr>
          <w:rFonts w:ascii="Arial" w:cs="Arial" w:eastAsia="Arial" w:hAnsi="Arial"/>
          <w:sz w:val="18"/>
          <w:szCs w:val="18"/>
          <w:color w:val="auto"/>
        </w:rPr>
        <w:t>Available-for-sale financial investments are non-derivative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189" w:lineRule="exact"/>
        <w:rPr>
          <w:rFonts w:ascii="Arial" w:cs="Arial" w:eastAsia="Arial" w:hAnsi="Arial"/>
          <w:sz w:val="18"/>
          <w:szCs w:val="18"/>
          <w:color w:val="auto"/>
        </w:rPr>
      </w:pPr>
    </w:p>
    <w:p>
      <w:pPr>
        <w:ind w:left="1620"/>
        <w:spacing w:after="0" w:line="255" w:lineRule="auto"/>
        <w:rPr>
          <w:rFonts w:ascii="Arial" w:cs="Arial" w:eastAsia="Arial" w:hAnsi="Arial"/>
          <w:sz w:val="18"/>
          <w:szCs w:val="18"/>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income statement in the caption “Net gain on sale of securities”, or determined to be impaired, at which time the impaired amount is recognized in the consolidated income statement in the caption “Impairment loss on available–for–sale investments” and removed from the available-for-sale reserve.</w:t>
      </w:r>
    </w:p>
    <w:p>
      <w:pPr>
        <w:spacing w:after="0" w:line="193" w:lineRule="exact"/>
        <w:rPr>
          <w:rFonts w:ascii="Arial" w:cs="Arial" w:eastAsia="Arial" w:hAnsi="Arial"/>
          <w:sz w:val="18"/>
          <w:szCs w:val="18"/>
          <w:color w:val="auto"/>
        </w:rPr>
      </w:pPr>
    </w:p>
    <w:p>
      <w:pPr>
        <w:ind w:left="1620" w:right="440"/>
        <w:spacing w:after="0" w:line="264" w:lineRule="auto"/>
        <w:rPr>
          <w:rFonts w:ascii="Arial" w:cs="Arial" w:eastAsia="Arial" w:hAnsi="Arial"/>
          <w:sz w:val="18"/>
          <w:szCs w:val="18"/>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w:t>
      </w:r>
    </w:p>
    <w:p>
      <w:pPr>
        <w:spacing w:after="0" w:line="181" w:lineRule="exact"/>
        <w:rPr>
          <w:rFonts w:ascii="Arial" w:cs="Arial" w:eastAsia="Arial" w:hAnsi="Arial"/>
          <w:sz w:val="18"/>
          <w:szCs w:val="18"/>
          <w:color w:val="auto"/>
        </w:rPr>
      </w:pPr>
    </w:p>
    <w:p>
      <w:pPr>
        <w:ind w:left="1620" w:right="40"/>
        <w:spacing w:after="0" w:line="277" w:lineRule="auto"/>
        <w:rPr>
          <w:rFonts w:ascii="Arial" w:cs="Arial" w:eastAsia="Arial" w:hAnsi="Arial"/>
          <w:sz w:val="18"/>
          <w:szCs w:val="18"/>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spacing w:after="0" w:line="274" w:lineRule="auto"/>
        <w:rPr>
          <w:sz w:val="20"/>
          <w:szCs w:val="20"/>
          <w:color w:val="auto"/>
        </w:rPr>
      </w:pPr>
      <w:r>
        <w:rPr>
          <w:rFonts w:ascii="Arial" w:cs="Arial" w:eastAsia="Arial" w:hAnsi="Arial"/>
          <w:sz w:val="17"/>
          <w:szCs w:val="17"/>
          <w:color w:val="auto"/>
        </w:rPr>
        <w:t>When the Group is unable to sell these financial assets due to inactive markets and Management’s intent to sell them in the foreseeable future which changes significantly, the Group may elect, only in rare circumstances, to reclassify these financial</w:t>
      </w:r>
    </w:p>
    <w:p>
      <w:pPr>
        <w:ind w:left="1620"/>
        <w:spacing w:after="0" w:line="302" w:lineRule="auto"/>
        <w:rPr>
          <w:sz w:val="20"/>
          <w:szCs w:val="20"/>
          <w:color w:val="auto"/>
        </w:rPr>
      </w:pPr>
      <w:r>
        <w:rPr>
          <w:rFonts w:ascii="Arial" w:cs="Arial" w:eastAsia="Arial" w:hAnsi="Arial"/>
          <w:sz w:val="16"/>
          <w:szCs w:val="16"/>
          <w:color w:val="auto"/>
        </w:rPr>
        <w:t>assets. Reclassification to loans and receivables is permitted when the financial asset meets the definition of loans and receivables and Management has the intent and ability to hold these assets for the foreseeable future or until maturity. The reclassification to held to maturity category is permitted only when the entity has the ability and intent to hold the financial asset until maturity.</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2010 and 2009, the Group did not reclassify any of its available-for- sale financial investments.</w:t>
      </w:r>
    </w:p>
    <w:p>
      <w:pPr>
        <w:spacing w:after="0" w:line="225" w:lineRule="exact"/>
        <w:rPr>
          <w:sz w:val="20"/>
          <w:szCs w:val="20"/>
          <w:color w:val="auto"/>
        </w:rPr>
      </w:pPr>
    </w:p>
    <w:p>
      <w:pPr>
        <w:ind w:left="1620" w:hanging="478"/>
        <w:spacing w:after="0"/>
        <w:tabs>
          <w:tab w:leader="none" w:pos="1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620" w:right="300"/>
        <w:spacing w:after="0" w:line="323" w:lineRule="auto"/>
        <w:rPr>
          <w:rFonts w:ascii="Arial" w:cs="Arial" w:eastAsia="Arial" w:hAnsi="Arial"/>
          <w:sz w:val="18"/>
          <w:szCs w:val="18"/>
          <w:color w:val="auto"/>
        </w:rPr>
      </w:pPr>
      <w:r>
        <w:rPr>
          <w:rFonts w:ascii="Arial" w:cs="Arial" w:eastAsia="Arial" w:hAnsi="Arial"/>
          <w:sz w:val="16"/>
          <w:szCs w:val="16"/>
          <w:color w:val="auto"/>
        </w:rPr>
        <w:t>After initial measurement, other financial liabilities are subsequently measured at amortized cost using the effective interest rate method. Amortized cost includes any issuance discount or premium and costs that are an integral part of the effective interest rate.</w:t>
      </w:r>
    </w:p>
    <w:p>
      <w:pPr>
        <w:spacing w:after="0" w:line="138" w:lineRule="exact"/>
        <w:rPr>
          <w:rFonts w:ascii="Arial" w:cs="Arial" w:eastAsia="Arial" w:hAnsi="Arial"/>
          <w:sz w:val="18"/>
          <w:szCs w:val="18"/>
          <w:color w:val="auto"/>
        </w:rPr>
      </w:pPr>
    </w:p>
    <w:p>
      <w:pPr>
        <w:ind w:left="1140" w:right="6040" w:hanging="646"/>
        <w:spacing w:after="0" w:line="258" w:lineRule="auto"/>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Financial assets:</w:t>
      </w:r>
    </w:p>
    <w:p>
      <w:pPr>
        <w:spacing w:after="0" w:line="1" w:lineRule="exact"/>
        <w:rPr>
          <w:rFonts w:ascii="Arial" w:cs="Arial" w:eastAsia="Arial" w:hAnsi="Arial"/>
          <w:sz w:val="18"/>
          <w:szCs w:val="18"/>
          <w:color w:val="auto"/>
        </w:rPr>
      </w:pPr>
    </w:p>
    <w:p>
      <w:pPr>
        <w:ind w:left="1140" w:right="60"/>
        <w:spacing w:after="0" w:line="271" w:lineRule="auto"/>
        <w:rPr>
          <w:rFonts w:ascii="Arial" w:cs="Arial" w:eastAsia="Arial" w:hAnsi="Arial"/>
          <w:sz w:val="18"/>
          <w:szCs w:val="18"/>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7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Financial liabilities:</w:t>
      </w:r>
    </w:p>
    <w:p>
      <w:pPr>
        <w:spacing w:after="0" w:line="23" w:lineRule="exact"/>
        <w:rPr>
          <w:rFonts w:ascii="Arial" w:cs="Arial" w:eastAsia="Arial" w:hAnsi="Arial"/>
          <w:sz w:val="18"/>
          <w:szCs w:val="18"/>
          <w:color w:val="auto"/>
        </w:rPr>
      </w:pPr>
    </w:p>
    <w:p>
      <w:pPr>
        <w:ind w:left="1140" w:right="240"/>
        <w:spacing w:after="0" w:line="273" w:lineRule="auto"/>
        <w:rPr>
          <w:rFonts w:ascii="Arial" w:cs="Arial" w:eastAsia="Arial" w:hAnsi="Arial"/>
          <w:sz w:val="18"/>
          <w:szCs w:val="18"/>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any resulting difference in the respective carrying amount is recognized as profit or loss.</w:t>
      </w:r>
    </w:p>
    <w:p>
      <w:pPr>
        <w:spacing w:after="0" w:line="176" w:lineRule="exact"/>
        <w:rPr>
          <w:rFonts w:ascii="Arial" w:cs="Arial" w:eastAsia="Arial" w:hAnsi="Arial"/>
          <w:sz w:val="18"/>
          <w:szCs w:val="18"/>
          <w:color w:val="auto"/>
        </w:rPr>
      </w:pPr>
    </w:p>
    <w:p>
      <w:pPr>
        <w:ind w:left="1140" w:hanging="646"/>
        <w:spacing w:after="0"/>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3" w:right="31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hanging="646"/>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1140"/>
        <w:spacing w:after="0" w:line="251" w:lineRule="auto"/>
        <w:rPr>
          <w:rFonts w:ascii="Arial" w:cs="Arial" w:eastAsia="Arial" w:hAnsi="Arial"/>
          <w:sz w:val="18"/>
          <w:szCs w:val="18"/>
          <w:color w:val="auto"/>
        </w:rPr>
      </w:pPr>
      <w:r>
        <w:rPr>
          <w:rFonts w:ascii="Arial" w:cs="Arial" w:eastAsia="Arial" w:hAnsi="Arial"/>
          <w:sz w:val="18"/>
          <w:szCs w:val="18"/>
          <w:color w:val="auto"/>
        </w:rPr>
        <w:t>The Group assesses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198" w:lineRule="exact"/>
        <w:rPr>
          <w:rFonts w:ascii="Arial" w:cs="Arial" w:eastAsia="Arial" w:hAnsi="Arial"/>
          <w:sz w:val="18"/>
          <w:szCs w:val="18"/>
          <w:color w:val="auto"/>
        </w:rPr>
      </w:pPr>
    </w:p>
    <w:p>
      <w:pPr>
        <w:ind w:left="1620" w:hanging="478"/>
        <w:spacing w:after="0"/>
        <w:tabs>
          <w:tab w:leader="none" w:pos="1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right="40"/>
        <w:spacing w:after="0" w:line="252" w:lineRule="auto"/>
        <w:rPr>
          <w:rFonts w:ascii="Arial" w:cs="Arial" w:eastAsia="Arial" w:hAnsi="Arial"/>
          <w:sz w:val="18"/>
          <w:szCs w:val="18"/>
          <w:color w:val="auto"/>
        </w:rPr>
      </w:pPr>
      <w:r>
        <w:rPr>
          <w:rFonts w:ascii="Arial" w:cs="Arial" w:eastAsia="Arial" w:hAnsi="Arial"/>
          <w:sz w:val="18"/>
          <w:szCs w:val="18"/>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194" w:lineRule="exact"/>
        <w:rPr>
          <w:rFonts w:ascii="Arial" w:cs="Arial" w:eastAsia="Arial" w:hAnsi="Arial"/>
          <w:sz w:val="18"/>
          <w:szCs w:val="18"/>
          <w:color w:val="auto"/>
        </w:rPr>
      </w:pPr>
    </w:p>
    <w:p>
      <w:pPr>
        <w:ind w:left="1620"/>
        <w:spacing w:after="0" w:line="289" w:lineRule="auto"/>
        <w:rPr>
          <w:rFonts w:ascii="Arial" w:cs="Arial" w:eastAsia="Arial" w:hAnsi="Arial"/>
          <w:sz w:val="18"/>
          <w:szCs w:val="18"/>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any subsequent year, the amount of the estimated impairment loss increases or decreases because of an event occurring after the impairment was recognized, the previously recognized impairment loss is increased or reduced by adjusting the allowance account. If in the future a write-off is later recovered, the recovery is recognized in the consolidated income statement, as a credit to the caption “Provision for loan losses”.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100"/>
        <w:spacing w:after="0" w:line="279"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71" w:lineRule="exact"/>
        <w:rPr>
          <w:sz w:val="20"/>
          <w:szCs w:val="20"/>
          <w:color w:val="auto"/>
        </w:rPr>
      </w:pPr>
    </w:p>
    <w:p>
      <w:pPr>
        <w:jc w:val="both"/>
        <w:ind w:left="1620" w:right="380"/>
        <w:spacing w:after="0" w:line="264" w:lineRule="auto"/>
        <w:rPr>
          <w:sz w:val="20"/>
          <w:szCs w:val="20"/>
          <w:color w:val="auto"/>
        </w:rPr>
      </w:pPr>
      <w:r>
        <w:rPr>
          <w:rFonts w:ascii="Arial" w:cs="Arial" w:eastAsia="Arial" w:hAnsi="Arial"/>
          <w:sz w:val="18"/>
          <w:szCs w:val="18"/>
          <w:color w:val="auto"/>
        </w:rPr>
        <w:t>For a collective evaluation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181" w:lineRule="exact"/>
        <w:rPr>
          <w:sz w:val="20"/>
          <w:szCs w:val="20"/>
          <w:color w:val="auto"/>
        </w:rPr>
      </w:pPr>
    </w:p>
    <w:p>
      <w:pPr>
        <w:ind w:left="1620"/>
        <w:spacing w:after="0" w:line="297" w:lineRule="auto"/>
        <w:rPr>
          <w:sz w:val="20"/>
          <w:szCs w:val="20"/>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58" w:lineRule="exact"/>
        <w:rPr>
          <w:sz w:val="20"/>
          <w:szCs w:val="20"/>
          <w:color w:val="auto"/>
        </w:rPr>
      </w:pPr>
    </w:p>
    <w:p>
      <w:pPr>
        <w:ind w:left="1620" w:hanging="478"/>
        <w:spacing w:after="0"/>
        <w:tabs>
          <w:tab w:leader="none" w:pos="16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560"/>
        <w:spacing w:after="0" w:line="261"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183" w:lineRule="exact"/>
        <w:rPr>
          <w:rFonts w:ascii="Arial" w:cs="Arial" w:eastAsia="Arial" w:hAnsi="Arial"/>
          <w:sz w:val="18"/>
          <w:szCs w:val="18"/>
          <w:color w:val="auto"/>
        </w:rPr>
      </w:pPr>
    </w:p>
    <w:p>
      <w:pPr>
        <w:ind w:left="1620" w:right="40"/>
        <w:spacing w:after="0" w:line="272"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its fair value below cost. “Significant” is to be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investments available-for-sale reserve of the consolidated statements of changes in equity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2" w:right="27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spacing w:after="0" w:line="271"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income statement. Future interest income is based on the reduced carrying amount and is accrued using the interest rate used to discount the future cash flows for the purpose of measuring the impairment loss. Interest income is recorded as part of “Interest and dividend income” of the consolidated income statement.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179" w:lineRule="exact"/>
        <w:rPr>
          <w:sz w:val="20"/>
          <w:szCs w:val="20"/>
          <w:color w:val="auto"/>
        </w:rPr>
      </w:pPr>
    </w:p>
    <w:p>
      <w:pPr>
        <w:ind w:left="1620" w:hanging="478"/>
        <w:spacing w:after="0"/>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620" w:right="20"/>
        <w:spacing w:after="0" w:line="254" w:lineRule="auto"/>
        <w:rPr>
          <w:rFonts w:ascii="Arial" w:cs="Arial" w:eastAsia="Arial" w:hAnsi="Arial"/>
          <w:sz w:val="18"/>
          <w:szCs w:val="18"/>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is considered as impaired and past due.</w:t>
      </w:r>
    </w:p>
    <w:p>
      <w:pPr>
        <w:spacing w:after="0" w:line="189" w:lineRule="exact"/>
        <w:rPr>
          <w:rFonts w:ascii="Arial" w:cs="Arial" w:eastAsia="Arial" w:hAnsi="Arial"/>
          <w:sz w:val="18"/>
          <w:szCs w:val="18"/>
          <w:color w:val="auto"/>
        </w:rPr>
      </w:pPr>
    </w:p>
    <w:p>
      <w:pPr>
        <w:ind w:left="1160" w:hanging="652"/>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Leases -</w:t>
      </w:r>
    </w:p>
    <w:p>
      <w:pPr>
        <w:spacing w:after="0" w:line="23" w:lineRule="exact"/>
        <w:rPr>
          <w:rFonts w:ascii="Arial" w:cs="Arial" w:eastAsia="Arial" w:hAnsi="Arial"/>
          <w:sz w:val="18"/>
          <w:szCs w:val="18"/>
          <w:color w:val="auto"/>
        </w:rPr>
      </w:pPr>
    </w:p>
    <w:p>
      <w:pPr>
        <w:ind w:left="1140" w:right="200"/>
        <w:spacing w:after="0" w:line="323" w:lineRule="auto"/>
        <w:rPr>
          <w:rFonts w:ascii="Arial" w:cs="Arial" w:eastAsia="Arial" w:hAnsi="Arial"/>
          <w:sz w:val="18"/>
          <w:szCs w:val="18"/>
          <w:color w:val="auto"/>
        </w:rPr>
      </w:pPr>
      <w:r>
        <w:rPr>
          <w:rFonts w:ascii="Arial" w:cs="Arial" w:eastAsia="Arial" w:hAnsi="Arial"/>
          <w:sz w:val="16"/>
          <w:szCs w:val="16"/>
          <w:color w:val="auto"/>
        </w:rPr>
        <w:t>The determination of whether an arrangement is, or contains, a lease is based in the substance of the arrangement at inception date: whether fulfillment of the arrangement is dependent on the use of a specific asset or assets on the arrangement conveys a right to use the asset.</w:t>
      </w:r>
    </w:p>
    <w:p>
      <w:pPr>
        <w:spacing w:after="0" w:line="13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Operating leases:</w:t>
      </w:r>
    </w:p>
    <w:p>
      <w:pPr>
        <w:spacing w:after="0" w:line="23" w:lineRule="exact"/>
        <w:rPr>
          <w:rFonts w:ascii="Arial" w:cs="Arial" w:eastAsia="Arial" w:hAnsi="Arial"/>
          <w:sz w:val="18"/>
          <w:szCs w:val="18"/>
          <w:color w:val="auto"/>
        </w:rPr>
      </w:pPr>
    </w:p>
    <w:p>
      <w:pPr>
        <w:ind w:left="1140" w:right="180"/>
        <w:spacing w:after="0" w:line="261" w:lineRule="auto"/>
        <w:rPr>
          <w:rFonts w:ascii="Arial" w:cs="Arial" w:eastAsia="Arial" w:hAnsi="Arial"/>
          <w:sz w:val="18"/>
          <w:szCs w:val="18"/>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BCP’s branches.</w:t>
      </w:r>
    </w:p>
    <w:p>
      <w:pPr>
        <w:spacing w:after="0" w:line="183" w:lineRule="exact"/>
        <w:rPr>
          <w:rFonts w:ascii="Arial" w:cs="Arial" w:eastAsia="Arial" w:hAnsi="Arial"/>
          <w:sz w:val="18"/>
          <w:szCs w:val="18"/>
          <w:color w:val="auto"/>
        </w:rPr>
      </w:pPr>
    </w:p>
    <w:p>
      <w:pPr>
        <w:ind w:left="1140" w:right="240"/>
        <w:spacing w:after="0" w:line="277" w:lineRule="auto"/>
        <w:rPr>
          <w:rFonts w:ascii="Arial" w:cs="Arial" w:eastAsia="Arial" w:hAnsi="Arial"/>
          <w:sz w:val="18"/>
          <w:szCs w:val="18"/>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17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Finance leases:</w:t>
      </w:r>
    </w:p>
    <w:p>
      <w:pPr>
        <w:spacing w:after="0" w:line="23" w:lineRule="exact"/>
        <w:rPr>
          <w:rFonts w:ascii="Arial" w:cs="Arial" w:eastAsia="Arial" w:hAnsi="Arial"/>
          <w:sz w:val="18"/>
          <w:szCs w:val="18"/>
          <w:color w:val="auto"/>
        </w:rPr>
      </w:pPr>
    </w:p>
    <w:p>
      <w:pPr>
        <w:ind w:left="1140" w:right="120"/>
        <w:spacing w:after="0" w:line="255" w:lineRule="auto"/>
        <w:rPr>
          <w:rFonts w:ascii="Arial" w:cs="Arial" w:eastAsia="Arial" w:hAnsi="Arial"/>
          <w:sz w:val="18"/>
          <w:szCs w:val="18"/>
          <w:color w:val="auto"/>
        </w:rPr>
      </w:pPr>
      <w:r>
        <w:rPr>
          <w:rFonts w:ascii="Arial" w:cs="Arial" w:eastAsia="Arial" w:hAnsi="Arial"/>
          <w:sz w:val="18"/>
          <w:szCs w:val="18"/>
          <w:color w:val="auto"/>
        </w:rPr>
        <w:t>Finance leases are recognized as granted loans at the present value of the lease collections. The difference between the gross receivable amount and the present value of the loan is recognized as unearned interest. Lease income is recognized over the term of the lease agreement using the effective interest method, which reflects a constant periodic rate of return.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hanging="646"/>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1140"/>
        <w:spacing w:after="0" w:line="253" w:lineRule="auto"/>
        <w:rPr>
          <w:rFonts w:ascii="Arial" w:cs="Arial" w:eastAsia="Arial" w:hAnsi="Arial"/>
          <w:sz w:val="18"/>
          <w:szCs w:val="18"/>
          <w:color w:val="auto"/>
        </w:rPr>
      </w:pPr>
      <w:r>
        <w:rPr>
          <w:rFonts w:ascii="Arial" w:cs="Arial" w:eastAsia="Arial" w:hAnsi="Arial"/>
          <w:sz w:val="18"/>
          <w:szCs w:val="18"/>
          <w:color w:val="auto"/>
        </w:rPr>
        <w:t>Property, furniture and equipment are stated at historical acquisition cost less depreciation and impairment, if applicable. Historical acquisition costs include expenditures that are directly attributable to the acquired property, furniture or equipment. Maintenance and repair costs are charged to the consolidated income statement; significant renewals and improvements are capitalized when it is probable that future economic benefits, in excess of the originally assessed standard of performance, will flow from the use of the acquired property, furniture or equipment.</w:t>
      </w:r>
    </w:p>
    <w:p>
      <w:pPr>
        <w:spacing w:after="0" w:line="191"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Land is not depreciated. Depreciation is calculated using the straight-line method over their estimated useful life,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54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Buildings and other construction</w:t>
            </w:r>
          </w:p>
        </w:tc>
        <w:tc>
          <w:tcPr>
            <w:tcW w:w="3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Installations</w:t>
            </w:r>
          </w:p>
        </w:tc>
        <w:tc>
          <w:tcPr>
            <w:tcW w:w="3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Furniture and fixtures</w:t>
            </w:r>
          </w:p>
        </w:tc>
        <w:tc>
          <w:tcPr>
            <w:tcW w:w="3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Vehicles and equipment</w:t>
            </w:r>
          </w:p>
        </w:tc>
        <w:tc>
          <w:tcPr>
            <w:tcW w:w="3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Computer hardware</w:t>
            </w:r>
          </w:p>
        </w:tc>
        <w:tc>
          <w:tcPr>
            <w:tcW w:w="3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jc w:val="both"/>
        <w:ind w:left="1140" w:right="120"/>
        <w:spacing w:after="0" w:line="312"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income statement when the asset is derecognized.</w:t>
      </w:r>
    </w:p>
    <w:p>
      <w:pPr>
        <w:spacing w:after="0" w:line="147"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current economic benefits and life expectations.</w:t>
      </w:r>
    </w:p>
    <w:p>
      <w:pPr>
        <w:spacing w:after="0" w:line="170" w:lineRule="exact"/>
        <w:rPr>
          <w:sz w:val="20"/>
          <w:szCs w:val="20"/>
          <w:color w:val="auto"/>
        </w:rPr>
      </w:pPr>
    </w:p>
    <w:p>
      <w:pPr>
        <w:ind w:left="1140" w:hanging="646"/>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3" w:lineRule="exact"/>
        <w:rPr>
          <w:rFonts w:ascii="Arial" w:cs="Arial" w:eastAsia="Arial" w:hAnsi="Arial"/>
          <w:sz w:val="18"/>
          <w:szCs w:val="18"/>
          <w:color w:val="auto"/>
        </w:rPr>
      </w:pPr>
    </w:p>
    <w:p>
      <w:pPr>
        <w:ind w:left="1140" w:right="840"/>
        <w:spacing w:after="0" w:line="261" w:lineRule="auto"/>
        <w:rPr>
          <w:rFonts w:ascii="Arial" w:cs="Arial" w:eastAsia="Arial" w:hAnsi="Arial"/>
          <w:sz w:val="18"/>
          <w:szCs w:val="18"/>
          <w:color w:val="auto"/>
        </w:rPr>
      </w:pPr>
      <w:r>
        <w:rPr>
          <w:rFonts w:ascii="Arial" w:cs="Arial" w:eastAsia="Arial" w:hAnsi="Arial"/>
          <w:sz w:val="18"/>
          <w:szCs w:val="18"/>
          <w:color w:val="auto"/>
        </w:rPr>
        <w:t>Seized assets are recorded at the lower of cost or estimated market value, which is obtained from valuations made by independent appraisals. Reductions in book values are recorded in the consolidated income statements.</w:t>
      </w:r>
    </w:p>
    <w:p>
      <w:pPr>
        <w:spacing w:after="0" w:line="183" w:lineRule="exact"/>
        <w:rPr>
          <w:rFonts w:ascii="Arial" w:cs="Arial" w:eastAsia="Arial" w:hAnsi="Arial"/>
          <w:sz w:val="18"/>
          <w:szCs w:val="18"/>
          <w:color w:val="auto"/>
        </w:rPr>
      </w:pPr>
    </w:p>
    <w:p>
      <w:pPr>
        <w:ind w:left="1140" w:hanging="646"/>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1140" w:right="300"/>
        <w:spacing w:after="0" w:line="255" w:lineRule="auto"/>
        <w:rPr>
          <w:rFonts w:ascii="Arial" w:cs="Arial" w:eastAsia="Arial" w:hAnsi="Arial"/>
          <w:sz w:val="18"/>
          <w:szCs w:val="18"/>
          <w:color w:val="auto"/>
        </w:rPr>
      </w:pPr>
      <w:r>
        <w:rPr>
          <w:rFonts w:ascii="Arial" w:cs="Arial" w:eastAsia="Arial" w:hAnsi="Arial"/>
          <w:sz w:val="18"/>
          <w:szCs w:val="18"/>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3"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40"/>
        <w:spacing w:after="0" w:line="286" w:lineRule="auto"/>
        <w:rPr>
          <w:sz w:val="20"/>
          <w:szCs w:val="20"/>
          <w:color w:val="auto"/>
        </w:rPr>
      </w:pPr>
      <w:r>
        <w:rPr>
          <w:rFonts w:ascii="Arial" w:cs="Arial" w:eastAsia="Arial" w:hAnsi="Arial"/>
          <w:sz w:val="17"/>
          <w:szCs w:val="17"/>
          <w:color w:val="auto"/>
        </w:rPr>
        <w:t>Intangible assets identified as a consequence of the acquisition of Edyficar and Prima AFP, note 10 (“Client relationships” and “Brand name”) and other intangible assets, are recognized on the consolidated statements of financial position at their fair values determined on the acquisition date and are amortized using the straight line method over their estimated useful life;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52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r>
      <w:tr>
        <w:trPr>
          <w:trHeight w:val="216"/>
        </w:trPr>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Client relationships – Prima AFP</w:t>
            </w:r>
          </w:p>
        </w:tc>
        <w:tc>
          <w:tcPr>
            <w:tcW w:w="3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Client relationships – Edyficar</w:t>
            </w:r>
          </w:p>
        </w:tc>
        <w:tc>
          <w:tcPr>
            <w:tcW w:w="3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Brand name – Edyficar</w:t>
            </w:r>
          </w:p>
        </w:tc>
        <w:tc>
          <w:tcPr>
            <w:tcW w:w="3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Rights of use</w:t>
            </w:r>
          </w:p>
        </w:tc>
        <w:tc>
          <w:tcPr>
            <w:tcW w:w="3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3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left="1140" w:right="36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income statement when the asset is derecognized.</w:t>
      </w:r>
    </w:p>
    <w:p>
      <w:pPr>
        <w:spacing w:after="0" w:line="147" w:lineRule="exact"/>
        <w:rPr>
          <w:sz w:val="20"/>
          <w:szCs w:val="20"/>
          <w:color w:val="auto"/>
        </w:rPr>
      </w:pPr>
    </w:p>
    <w:p>
      <w:pPr>
        <w:ind w:left="1140" w:hanging="646"/>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140" w:right="620"/>
        <w:spacing w:after="0" w:line="254" w:lineRule="auto"/>
        <w:rPr>
          <w:rFonts w:ascii="Arial" w:cs="Arial" w:eastAsia="Arial" w:hAnsi="Arial"/>
          <w:sz w:val="18"/>
          <w:szCs w:val="18"/>
          <w:color w:val="auto"/>
        </w:rPr>
      </w:pPr>
      <w:r>
        <w:rPr>
          <w:rFonts w:ascii="Arial" w:cs="Arial" w:eastAsia="Arial" w:hAnsi="Arial"/>
          <w:sz w:val="18"/>
          <w:szCs w:val="18"/>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 See also paragraph (o) below.</w:t>
      </w:r>
    </w:p>
    <w:p>
      <w:pPr>
        <w:spacing w:after="0" w:line="189" w:lineRule="exact"/>
        <w:rPr>
          <w:rFonts w:ascii="Arial" w:cs="Arial" w:eastAsia="Arial" w:hAnsi="Arial"/>
          <w:sz w:val="18"/>
          <w:szCs w:val="18"/>
          <w:color w:val="auto"/>
        </w:rPr>
      </w:pPr>
    </w:p>
    <w:p>
      <w:pPr>
        <w:ind w:left="1140" w:hanging="646"/>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1140" w:right="20"/>
        <w:spacing w:after="0" w:line="271" w:lineRule="auto"/>
        <w:rPr>
          <w:rFonts w:ascii="Arial" w:cs="Arial" w:eastAsia="Arial" w:hAnsi="Arial"/>
          <w:sz w:val="18"/>
          <w:szCs w:val="18"/>
          <w:color w:val="auto"/>
        </w:rPr>
      </w:pPr>
      <w:r>
        <w:rPr>
          <w:rFonts w:ascii="Arial" w:cs="Arial" w:eastAsia="Arial" w:hAnsi="Arial"/>
          <w:sz w:val="17"/>
          <w:szCs w:val="17"/>
          <w:color w:val="auto"/>
        </w:rPr>
        <w:t>The Group assesses at each reporting date or more frequently if events or changes in circumstances indicate that the carrying value of non-financial assets may be impaired. If any such indication exists, the Group estimates the asset’s recoverable amount. An asset’s recoverable amount is the higher of an asset’s or cash generating unit’s (CGU) fair value less costs to sell and its value in use. Goodwill is tested annually for impairment. Where the carrying amount of an asset (or cash-generating unit) exceeds its recoverable amount, the asset (or cash-generating unit) is considered impaired and is written down to its recoverable amount.</w:t>
      </w:r>
    </w:p>
    <w:p>
      <w:pPr>
        <w:spacing w:after="0" w:line="178" w:lineRule="exact"/>
        <w:rPr>
          <w:rFonts w:ascii="Arial" w:cs="Arial" w:eastAsia="Arial" w:hAnsi="Arial"/>
          <w:sz w:val="18"/>
          <w:szCs w:val="18"/>
          <w:color w:val="auto"/>
        </w:rPr>
      </w:pPr>
    </w:p>
    <w:p>
      <w:pPr>
        <w:ind w:left="1140"/>
        <w:spacing w:after="0" w:line="273" w:lineRule="auto"/>
        <w:rPr>
          <w:rFonts w:ascii="Arial" w:cs="Arial" w:eastAsia="Arial" w:hAnsi="Arial"/>
          <w:sz w:val="18"/>
          <w:szCs w:val="18"/>
          <w:color w:val="auto"/>
        </w:rPr>
      </w:pPr>
      <w:r>
        <w:rPr>
          <w:rFonts w:ascii="Arial" w:cs="Arial" w:eastAsia="Arial" w:hAnsi="Arial"/>
          <w:sz w:val="17"/>
          <w:szCs w:val="17"/>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the reversal is limited so that the carrying amount of the asset does not exceed its recoverable amount, nor exceeds the carrying amount that would have been determined, net of depreciation, had no impairment loss been recognized for the asset in prior years. Such reversal is recognized in the income statement.</w:t>
      </w:r>
    </w:p>
    <w:p>
      <w:pPr>
        <w:spacing w:after="0" w:line="17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Impairment losses relating to goodwill cannot be reversed for subsequent increases in its recoverable amount in future periods.</w:t>
      </w:r>
    </w:p>
    <w:p>
      <w:pPr>
        <w:spacing w:after="0" w:line="225" w:lineRule="exact"/>
        <w:rPr>
          <w:rFonts w:ascii="Arial" w:cs="Arial" w:eastAsia="Arial" w:hAnsi="Arial"/>
          <w:sz w:val="18"/>
          <w:szCs w:val="18"/>
          <w:color w:val="auto"/>
        </w:rPr>
      </w:pPr>
    </w:p>
    <w:p>
      <w:pPr>
        <w:ind w:left="1140" w:hanging="646"/>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3" w:lineRule="exact"/>
        <w:rPr>
          <w:rFonts w:ascii="Arial" w:cs="Arial" w:eastAsia="Arial" w:hAnsi="Arial"/>
          <w:sz w:val="18"/>
          <w:szCs w:val="18"/>
          <w:color w:val="auto"/>
        </w:rPr>
      </w:pPr>
    </w:p>
    <w:p>
      <w:pPr>
        <w:ind w:left="1140" w:right="60"/>
        <w:spacing w:after="0" w:line="323"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hanging="646"/>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1140" w:right="100"/>
        <w:spacing w:after="0" w:line="253" w:lineRule="auto"/>
        <w:rPr>
          <w:rFonts w:ascii="Arial" w:cs="Arial" w:eastAsia="Arial" w:hAnsi="Arial"/>
          <w:sz w:val="18"/>
          <w:szCs w:val="18"/>
          <w:color w:val="auto"/>
        </w:rPr>
      </w:pPr>
      <w:r>
        <w:rPr>
          <w:rFonts w:ascii="Arial" w:cs="Arial" w:eastAsia="Arial" w:hAnsi="Arial"/>
          <w:sz w:val="18"/>
          <w:szCs w:val="18"/>
          <w:color w:val="auto"/>
        </w:rPr>
        <w:t>In the ordinary course of business, the Group grants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as the higher of the amortized fee and the best estimate of expenditure required to settle any financial obligation arising as a result of the financial guarantee.</w:t>
      </w:r>
    </w:p>
    <w:p>
      <w:pPr>
        <w:spacing w:after="0" w:line="191" w:lineRule="exact"/>
        <w:rPr>
          <w:rFonts w:ascii="Arial" w:cs="Arial" w:eastAsia="Arial" w:hAnsi="Arial"/>
          <w:sz w:val="18"/>
          <w:szCs w:val="18"/>
          <w:color w:val="auto"/>
        </w:rPr>
      </w:pPr>
    </w:p>
    <w:p>
      <w:pPr>
        <w:ind w:left="1140" w:right="40"/>
        <w:spacing w:after="0" w:line="264" w:lineRule="auto"/>
        <w:rPr>
          <w:rFonts w:ascii="Arial" w:cs="Arial" w:eastAsia="Arial" w:hAnsi="Arial"/>
          <w:sz w:val="18"/>
          <w:szCs w:val="18"/>
          <w:color w:val="auto"/>
        </w:rPr>
      </w:pPr>
      <w:r>
        <w:rPr>
          <w:rFonts w:ascii="Arial" w:cs="Arial" w:eastAsia="Arial" w:hAnsi="Arial"/>
          <w:sz w:val="18"/>
          <w:szCs w:val="18"/>
          <w:color w:val="auto"/>
        </w:rPr>
        <w:t>Any increase in the liability relating to a financial guarantee is included in the consolidated statement of income. The fee received is recognized in the consolidated statement of income in the caption “Banking services commissions” on a straight line basis over the life of the granted financial guarantee.</w:t>
      </w:r>
    </w:p>
    <w:p>
      <w:pPr>
        <w:spacing w:after="0" w:line="181" w:lineRule="exact"/>
        <w:rPr>
          <w:rFonts w:ascii="Arial" w:cs="Arial" w:eastAsia="Arial" w:hAnsi="Arial"/>
          <w:sz w:val="18"/>
          <w:szCs w:val="18"/>
          <w:color w:val="auto"/>
        </w:rPr>
      </w:pPr>
    </w:p>
    <w:p>
      <w:pPr>
        <w:ind w:left="1140" w:hanging="646"/>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income statement. Unpaid contributions are recorded as a liability.</w:t>
      </w:r>
    </w:p>
    <w:p>
      <w:pPr>
        <w:spacing w:after="0" w:line="190" w:lineRule="exact"/>
        <w:rPr>
          <w:rFonts w:ascii="Arial" w:cs="Arial" w:eastAsia="Arial" w:hAnsi="Arial"/>
          <w:sz w:val="18"/>
          <w:szCs w:val="18"/>
          <w:color w:val="auto"/>
        </w:rPr>
      </w:pPr>
    </w:p>
    <w:p>
      <w:pPr>
        <w:ind w:left="1140" w:hanging="646"/>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1140" w:right="40"/>
        <w:spacing w:after="0" w:line="252" w:lineRule="auto"/>
        <w:rPr>
          <w:rFonts w:ascii="Arial" w:cs="Arial" w:eastAsia="Arial" w:hAnsi="Arial"/>
          <w:sz w:val="18"/>
          <w:szCs w:val="18"/>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income statement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194" w:lineRule="exact"/>
        <w:rPr>
          <w:rFonts w:ascii="Arial" w:cs="Arial" w:eastAsia="Arial" w:hAnsi="Arial"/>
          <w:sz w:val="18"/>
          <w:szCs w:val="18"/>
          <w:color w:val="auto"/>
        </w:rPr>
      </w:pPr>
    </w:p>
    <w:p>
      <w:pPr>
        <w:ind w:left="1140" w:hanging="646"/>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1140" w:right="340"/>
        <w:spacing w:after="0" w:line="261"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w:t>
      </w:r>
    </w:p>
    <w:p>
      <w:pPr>
        <w:spacing w:after="0" w:line="183" w:lineRule="exact"/>
        <w:rPr>
          <w:rFonts w:ascii="Arial" w:cs="Arial" w:eastAsia="Arial" w:hAnsi="Arial"/>
          <w:sz w:val="18"/>
          <w:szCs w:val="18"/>
          <w:color w:val="auto"/>
        </w:rPr>
      </w:pPr>
    </w:p>
    <w:p>
      <w:pPr>
        <w:ind w:left="1140" w:hanging="646"/>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Income tax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Income tax is computed based on individual financial statements of Credicorp and each one of its Subsidiaries.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20"/>
        <w:spacing w:after="0" w:line="297" w:lineRule="auto"/>
        <w:rPr>
          <w:sz w:val="20"/>
          <w:szCs w:val="20"/>
          <w:color w:val="auto"/>
        </w:rPr>
      </w:pPr>
      <w:r>
        <w:rPr>
          <w:rFonts w:ascii="Arial" w:cs="Arial" w:eastAsia="Arial" w:hAnsi="Arial"/>
          <w:sz w:val="16"/>
          <w:szCs w:val="16"/>
          <w:color w:val="auto"/>
        </w:rPr>
        <w:t>Deferred income tax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statements of financial position, to recover or settle the carrying amount of its assets and liabilities.</w:t>
      </w:r>
    </w:p>
    <w:p>
      <w:pPr>
        <w:spacing w:after="0" w:line="158" w:lineRule="exact"/>
        <w:rPr>
          <w:sz w:val="20"/>
          <w:szCs w:val="20"/>
          <w:color w:val="auto"/>
        </w:rPr>
      </w:pPr>
    </w:p>
    <w:p>
      <w:pPr>
        <w:ind w:left="1140" w:right="240"/>
        <w:spacing w:after="0" w:line="259" w:lineRule="auto"/>
        <w:rPr>
          <w:sz w:val="20"/>
          <w:szCs w:val="20"/>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statements of financial position, Credicorp and its Subsidiaries assess unrecognized deferred assets and the carrying amount of recognized deferred assets.</w:t>
      </w:r>
    </w:p>
    <w:p>
      <w:pPr>
        <w:spacing w:after="0" w:line="187" w:lineRule="exact"/>
        <w:rPr>
          <w:sz w:val="20"/>
          <w:szCs w:val="20"/>
          <w:color w:val="auto"/>
        </w:rPr>
      </w:pPr>
    </w:p>
    <w:p>
      <w:pPr>
        <w:ind w:left="1140" w:right="680"/>
        <w:spacing w:after="0" w:line="277" w:lineRule="auto"/>
        <w:rPr>
          <w:sz w:val="20"/>
          <w:szCs w:val="20"/>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170" w:lineRule="exact"/>
        <w:rPr>
          <w:sz w:val="20"/>
          <w:szCs w:val="20"/>
          <w:color w:val="auto"/>
        </w:rPr>
      </w:pPr>
    </w:p>
    <w:p>
      <w:pPr>
        <w:ind w:left="1140" w:hanging="646"/>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jc w:val="both"/>
        <w:ind w:left="1140" w:right="40"/>
        <w:spacing w:after="0" w:line="323" w:lineRule="auto"/>
        <w:rPr>
          <w:rFonts w:ascii="Arial" w:cs="Arial" w:eastAsia="Arial" w:hAnsi="Arial"/>
          <w:sz w:val="18"/>
          <w:szCs w:val="18"/>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38"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186" w:lineRule="exact"/>
        <w:rPr>
          <w:rFonts w:ascii="Arial" w:cs="Arial" w:eastAsia="Arial" w:hAnsi="Arial"/>
          <w:sz w:val="18"/>
          <w:szCs w:val="18"/>
          <w:color w:val="auto"/>
        </w:rPr>
      </w:pPr>
    </w:p>
    <w:p>
      <w:pPr>
        <w:ind w:left="1140" w:hanging="646"/>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9" w:lineRule="exact"/>
        <w:rPr>
          <w:rFonts w:ascii="Arial" w:cs="Arial" w:eastAsia="Arial" w:hAnsi="Arial"/>
          <w:sz w:val="18"/>
          <w:szCs w:val="18"/>
          <w:color w:val="auto"/>
        </w:rPr>
      </w:pPr>
    </w:p>
    <w:p>
      <w:pPr>
        <w:ind w:left="1620" w:right="160"/>
        <w:spacing w:after="0" w:line="253" w:lineRule="auto"/>
        <w:rPr>
          <w:rFonts w:ascii="Arial" w:cs="Arial" w:eastAsia="Arial" w:hAnsi="Arial"/>
          <w:sz w:val="18"/>
          <w:szCs w:val="18"/>
          <w:color w:val="auto"/>
        </w:rPr>
      </w:pPr>
      <w:r>
        <w:rPr>
          <w:rFonts w:ascii="Arial" w:cs="Arial" w:eastAsia="Arial" w:hAnsi="Arial"/>
          <w:sz w:val="18"/>
          <w:szCs w:val="18"/>
          <w:color w:val="auto"/>
        </w:rPr>
        <w:t>As explained in note 18(a), until April 2008 the Group granted a supplementary remuneration plan to certain employees who had at least one year serving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220"/>
        <w:spacing w:after="0" w:line="259" w:lineRule="auto"/>
        <w:rPr>
          <w:sz w:val="20"/>
          <w:szCs w:val="20"/>
          <w:color w:val="auto"/>
        </w:rPr>
      </w:pPr>
      <w:r>
        <w:rPr>
          <w:rFonts w:ascii="Arial" w:cs="Arial" w:eastAsia="Arial" w:hAnsi="Arial"/>
          <w:sz w:val="18"/>
          <w:szCs w:val="18"/>
          <w:color w:val="auto"/>
        </w:rPr>
        <w:t>The SARs fair value is expensed over the period up to the vesting date, with recognition of a corresponding liability. The liability is remeasured to fair value at each reporting date up to and including the settlement date, with changes in fair value recognized in the consolidated income statement caption “Salaries and employee benefits”. When the price or terms of the SARs are modified, any additional expense is recorded in the consolidated income statement.</w:t>
      </w:r>
    </w:p>
    <w:p>
      <w:pPr>
        <w:spacing w:after="0" w:line="187" w:lineRule="exact"/>
        <w:rPr>
          <w:sz w:val="20"/>
          <w:szCs w:val="20"/>
          <w:color w:val="auto"/>
        </w:rPr>
      </w:pPr>
    </w:p>
    <w:p>
      <w:pPr>
        <w:ind w:left="1620" w:hanging="478"/>
        <w:spacing w:after="0"/>
        <w:tabs>
          <w:tab w:leader="none" w:pos="1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23" w:lineRule="exact"/>
        <w:rPr>
          <w:rFonts w:ascii="Arial" w:cs="Arial" w:eastAsia="Arial" w:hAnsi="Arial"/>
          <w:sz w:val="18"/>
          <w:szCs w:val="18"/>
          <w:color w:val="auto"/>
        </w:rPr>
      </w:pPr>
    </w:p>
    <w:p>
      <w:pPr>
        <w:ind w:left="1620" w:right="20"/>
        <w:spacing w:after="0" w:line="261" w:lineRule="auto"/>
        <w:rPr>
          <w:rFonts w:ascii="Arial" w:cs="Arial" w:eastAsia="Arial" w:hAnsi="Arial"/>
          <w:sz w:val="18"/>
          <w:szCs w:val="18"/>
          <w:color w:val="auto"/>
        </w:rPr>
      </w:pPr>
      <w:r>
        <w:rPr>
          <w:rFonts w:ascii="Arial" w:cs="Arial" w:eastAsia="Arial" w:hAnsi="Arial"/>
          <w:sz w:val="18"/>
          <w:szCs w:val="18"/>
          <w:color w:val="auto"/>
        </w:rPr>
        <w:t>As explain in note 18(b), since April 2009, a new supplementary remuneration plan was implemented to replace the SARs plan (see (i) above).</w:t>
      </w:r>
    </w:p>
    <w:p>
      <w:pPr>
        <w:spacing w:after="0" w:line="183" w:lineRule="exact"/>
        <w:rPr>
          <w:rFonts w:ascii="Arial" w:cs="Arial" w:eastAsia="Arial" w:hAnsi="Arial"/>
          <w:sz w:val="18"/>
          <w:szCs w:val="18"/>
          <w:color w:val="auto"/>
        </w:rPr>
      </w:pPr>
    </w:p>
    <w:p>
      <w:pPr>
        <w:ind w:left="1620" w:right="20"/>
        <w:spacing w:after="0" w:line="291" w:lineRule="auto"/>
        <w:rPr>
          <w:rFonts w:ascii="Arial" w:cs="Arial" w:eastAsia="Arial" w:hAnsi="Arial"/>
          <w:sz w:val="18"/>
          <w:szCs w:val="18"/>
          <w:color w:val="auto"/>
        </w:rPr>
      </w:pPr>
      <w:r>
        <w:rPr>
          <w:rFonts w:ascii="Arial" w:cs="Arial" w:eastAsia="Arial" w:hAnsi="Arial"/>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w:t>
      </w:r>
    </w:p>
    <w:p>
      <w:pPr>
        <w:ind w:left="1620" w:right="200"/>
        <w:spacing w:after="0" w:line="255" w:lineRule="auto"/>
        <w:rPr>
          <w:rFonts w:ascii="Arial" w:cs="Arial" w:eastAsia="Arial" w:hAnsi="Arial"/>
          <w:sz w:val="18"/>
          <w:szCs w:val="18"/>
          <w:color w:val="auto"/>
        </w:rPr>
      </w:pPr>
      <w:r>
        <w:rPr>
          <w:rFonts w:ascii="Arial" w:cs="Arial" w:eastAsia="Arial" w:hAnsi="Arial"/>
          <w:sz w:val="18"/>
          <w:szCs w:val="18"/>
          <w:color w:val="auto"/>
        </w:rPr>
        <w:t>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190" w:lineRule="exact"/>
        <w:rPr>
          <w:rFonts w:ascii="Arial" w:cs="Arial" w:eastAsia="Arial" w:hAnsi="Arial"/>
          <w:sz w:val="18"/>
          <w:szCs w:val="18"/>
          <w:color w:val="auto"/>
        </w:rPr>
      </w:pPr>
    </w:p>
    <w:p>
      <w:pPr>
        <w:ind w:left="1620" w:right="20"/>
        <w:spacing w:after="0" w:line="257" w:lineRule="auto"/>
        <w:rPr>
          <w:rFonts w:ascii="Arial" w:cs="Arial" w:eastAsia="Arial" w:hAnsi="Arial"/>
          <w:sz w:val="18"/>
          <w:szCs w:val="18"/>
          <w:color w:val="auto"/>
        </w:rPr>
      </w:pPr>
      <w:r>
        <w:rPr>
          <w:rFonts w:ascii="Arial" w:cs="Arial" w:eastAsia="Arial" w:hAnsi="Arial"/>
          <w:sz w:val="18"/>
          <w:szCs w:val="18"/>
          <w:color w:val="auto"/>
        </w:rPr>
        <w:t>The expense is recorded in the consolidated income statement caption “Salaries and employees benefits” of the consolidated income statement. When the terms of an equity-settled award are modified, the minimum expense recognized in consolidated income statement “Salaries and employees benefits”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88"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The dilutive effect of outstanding stock awards is reflected as a share dilution in the computation of diluted earnings per share, see note 3(v).</w:t>
      </w:r>
    </w:p>
    <w:p>
      <w:pPr>
        <w:spacing w:after="0" w:line="170" w:lineRule="exact"/>
        <w:rPr>
          <w:rFonts w:ascii="Arial" w:cs="Arial" w:eastAsia="Arial" w:hAnsi="Arial"/>
          <w:sz w:val="18"/>
          <w:szCs w:val="18"/>
          <w:color w:val="auto"/>
        </w:rPr>
      </w:pPr>
    </w:p>
    <w:p>
      <w:pPr>
        <w:ind w:left="1140" w:right="7800" w:hanging="646"/>
        <w:spacing w:after="0" w:line="258" w:lineRule="auto"/>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Derivative financial instruments - Trading -</w:t>
      </w:r>
    </w:p>
    <w:p>
      <w:pPr>
        <w:spacing w:after="0" w:line="1"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83" w:lineRule="exact"/>
        <w:rPr>
          <w:rFonts w:ascii="Arial" w:cs="Arial" w:eastAsia="Arial" w:hAnsi="Arial"/>
          <w:sz w:val="18"/>
          <w:szCs w:val="18"/>
          <w:color w:val="auto"/>
        </w:rPr>
      </w:pPr>
    </w:p>
    <w:p>
      <w:pPr>
        <w:ind w:left="1140" w:right="18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186"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 -</w:t>
      </w:r>
    </w:p>
    <w:p>
      <w:pPr>
        <w:spacing w:after="0" w:line="23" w:lineRule="exact"/>
        <w:rPr>
          <w:rFonts w:ascii="Arial" w:cs="Arial" w:eastAsia="Arial" w:hAnsi="Arial"/>
          <w:sz w:val="18"/>
          <w:szCs w:val="18"/>
          <w:color w:val="auto"/>
        </w:rPr>
      </w:pPr>
    </w:p>
    <w:p>
      <w:pPr>
        <w:ind w:left="1140" w:right="340"/>
        <w:spacing w:after="0" w:line="250" w:lineRule="auto"/>
        <w:rPr>
          <w:rFonts w:ascii="Arial" w:cs="Arial" w:eastAsia="Arial" w:hAnsi="Arial"/>
          <w:sz w:val="18"/>
          <w:szCs w:val="18"/>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ind w:left="1140" w:right="140"/>
        <w:spacing w:after="0" w:line="255" w:lineRule="auto"/>
        <w:rPr>
          <w:rFonts w:ascii="Arial" w:cs="Arial" w:eastAsia="Arial" w:hAnsi="Arial"/>
          <w:sz w:val="18"/>
          <w:szCs w:val="18"/>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160"/>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25" w:lineRule="exact"/>
        <w:rPr>
          <w:sz w:val="20"/>
          <w:szCs w:val="20"/>
          <w:color w:val="auto"/>
        </w:rPr>
      </w:pPr>
    </w:p>
    <w:p>
      <w:pPr>
        <w:ind w:left="1620" w:hanging="478"/>
        <w:spacing w:after="0"/>
        <w:tabs>
          <w:tab w:leader="none" w:pos="1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3" w:lineRule="exact"/>
        <w:rPr>
          <w:rFonts w:ascii="Arial" w:cs="Arial" w:eastAsia="Arial" w:hAnsi="Arial"/>
          <w:sz w:val="18"/>
          <w:szCs w:val="18"/>
          <w:color w:val="auto"/>
        </w:rPr>
      </w:pPr>
    </w:p>
    <w:p>
      <w:pPr>
        <w:ind w:left="1620" w:right="240"/>
        <w:spacing w:after="0" w:line="323" w:lineRule="auto"/>
        <w:rPr>
          <w:rFonts w:ascii="Arial" w:cs="Arial" w:eastAsia="Arial" w:hAnsi="Arial"/>
          <w:sz w:val="18"/>
          <w:szCs w:val="18"/>
          <w:color w:val="auto"/>
        </w:rPr>
      </w:pPr>
      <w:r>
        <w:rPr>
          <w:rFonts w:ascii="Arial" w:cs="Arial" w:eastAsia="Arial" w:hAnsi="Arial"/>
          <w:sz w:val="16"/>
          <w:szCs w:val="16"/>
          <w:color w:val="auto"/>
        </w:rPr>
        <w:t>The effective portion of the gain or loss on the hedging instrument is recognized directly as other comprehensive income in the cash flow hedge reserve, while any ineffective portion is recognized immediately in the consolidated income statement as finance costs.</w:t>
      </w:r>
    </w:p>
    <w:p>
      <w:pPr>
        <w:spacing w:after="0" w:line="354" w:lineRule="exact"/>
        <w:rPr>
          <w:rFonts w:ascii="Arial" w:cs="Arial" w:eastAsia="Arial" w:hAnsi="Arial"/>
          <w:sz w:val="18"/>
          <w:szCs w:val="18"/>
          <w:color w:val="auto"/>
        </w:rPr>
      </w:pPr>
    </w:p>
    <w:p>
      <w:pPr>
        <w:ind w:left="1620" w:right="40"/>
        <w:spacing w:after="0" w:line="342" w:lineRule="auto"/>
        <w:rPr>
          <w:rFonts w:ascii="Arial" w:cs="Arial" w:eastAsia="Arial" w:hAnsi="Arial"/>
          <w:sz w:val="18"/>
          <w:szCs w:val="18"/>
          <w:color w:val="auto"/>
        </w:rPr>
      </w:pPr>
      <w:r>
        <w:rPr>
          <w:rFonts w:ascii="Arial" w:cs="Arial" w:eastAsia="Arial" w:hAnsi="Arial"/>
          <w:sz w:val="16"/>
          <w:szCs w:val="16"/>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w:t>
      </w:r>
    </w:p>
    <w:p>
      <w:pPr>
        <w:spacing w:after="0" w:line="123" w:lineRule="exact"/>
        <w:rPr>
          <w:rFonts w:ascii="Arial" w:cs="Arial" w:eastAsia="Arial" w:hAnsi="Arial"/>
          <w:sz w:val="18"/>
          <w:szCs w:val="18"/>
          <w:color w:val="auto"/>
        </w:rPr>
      </w:pPr>
    </w:p>
    <w:p>
      <w:pPr>
        <w:ind w:left="1620" w:right="100"/>
        <w:spacing w:after="0" w:line="257" w:lineRule="auto"/>
        <w:rPr>
          <w:rFonts w:ascii="Arial" w:cs="Arial" w:eastAsia="Arial" w:hAnsi="Arial"/>
          <w:sz w:val="18"/>
          <w:szCs w:val="18"/>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188" w:lineRule="exact"/>
        <w:rPr>
          <w:rFonts w:ascii="Arial" w:cs="Arial" w:eastAsia="Arial" w:hAnsi="Arial"/>
          <w:sz w:val="18"/>
          <w:szCs w:val="18"/>
          <w:color w:val="auto"/>
        </w:rPr>
      </w:pPr>
    </w:p>
    <w:p>
      <w:pPr>
        <w:ind w:left="1620" w:hanging="478"/>
        <w:spacing w:after="0"/>
        <w:tabs>
          <w:tab w:leader="none" w:pos="1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3" w:lineRule="exact"/>
        <w:rPr>
          <w:rFonts w:ascii="Arial" w:cs="Arial" w:eastAsia="Arial" w:hAnsi="Arial"/>
          <w:sz w:val="18"/>
          <w:szCs w:val="18"/>
          <w:color w:val="auto"/>
        </w:rPr>
      </w:pPr>
    </w:p>
    <w:p>
      <w:pPr>
        <w:ind w:left="1620" w:right="180"/>
        <w:spacing w:after="0" w:line="255" w:lineRule="auto"/>
        <w:rPr>
          <w:rFonts w:ascii="Arial" w:cs="Arial" w:eastAsia="Arial" w:hAnsi="Arial"/>
          <w:sz w:val="18"/>
          <w:szCs w:val="18"/>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190" w:lineRule="exact"/>
        <w:rPr>
          <w:rFonts w:ascii="Arial" w:cs="Arial" w:eastAsia="Arial" w:hAnsi="Arial"/>
          <w:sz w:val="18"/>
          <w:szCs w:val="18"/>
          <w:color w:val="auto"/>
        </w:rPr>
      </w:pPr>
    </w:p>
    <w:p>
      <w:pPr>
        <w:ind w:left="1620" w:right="20"/>
        <w:spacing w:after="0" w:line="254" w:lineRule="auto"/>
        <w:rPr>
          <w:rFonts w:ascii="Arial" w:cs="Arial" w:eastAsia="Arial" w:hAnsi="Arial"/>
          <w:sz w:val="18"/>
          <w:szCs w:val="18"/>
          <w:color w:val="auto"/>
        </w:rPr>
      </w:pPr>
      <w:r>
        <w:rPr>
          <w:rFonts w:ascii="Arial" w:cs="Arial" w:eastAsia="Arial" w:hAnsi="Arial"/>
          <w:sz w:val="18"/>
          <w:szCs w:val="18"/>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2"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If the hedged item is derecognized, the unamortized fair value is recognized immediately in the consolidated income statement.</w:t>
      </w:r>
    </w:p>
    <w:p>
      <w:pPr>
        <w:spacing w:after="0" w:line="222" w:lineRule="exact"/>
        <w:rPr>
          <w:rFonts w:ascii="Arial" w:cs="Arial" w:eastAsia="Arial" w:hAnsi="Arial"/>
          <w:sz w:val="18"/>
          <w:szCs w:val="18"/>
          <w:color w:val="auto"/>
        </w:rPr>
      </w:pPr>
    </w:p>
    <w:p>
      <w:pPr>
        <w:ind w:left="1620"/>
        <w:spacing w:after="0" w:line="264" w:lineRule="auto"/>
        <w:rPr>
          <w:rFonts w:ascii="Arial" w:cs="Arial" w:eastAsia="Arial" w:hAnsi="Arial"/>
          <w:sz w:val="18"/>
          <w:szCs w:val="18"/>
          <w:color w:val="auto"/>
        </w:rPr>
      </w:pPr>
      <w:r>
        <w:rPr>
          <w:rFonts w:ascii="Arial" w:cs="Arial" w:eastAsia="Arial" w:hAnsi="Arial"/>
          <w:sz w:val="18"/>
          <w:szCs w:val="18"/>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hanging="478"/>
        <w:spacing w:after="0"/>
        <w:tabs>
          <w:tab w:leader="none" w:pos="1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Embedded derivates:</w:t>
      </w:r>
    </w:p>
    <w:p>
      <w:pPr>
        <w:spacing w:after="0" w:line="23" w:lineRule="exact"/>
        <w:rPr>
          <w:rFonts w:ascii="Arial" w:cs="Arial" w:eastAsia="Arial" w:hAnsi="Arial"/>
          <w:sz w:val="18"/>
          <w:szCs w:val="18"/>
          <w:color w:val="auto"/>
        </w:rPr>
      </w:pPr>
    </w:p>
    <w:p>
      <w:pPr>
        <w:jc w:val="both"/>
        <w:ind w:left="1620" w:right="740"/>
        <w:spacing w:after="0" w:line="255"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90" w:lineRule="exact"/>
        <w:rPr>
          <w:rFonts w:ascii="Arial" w:cs="Arial" w:eastAsia="Arial" w:hAnsi="Arial"/>
          <w:sz w:val="18"/>
          <w:szCs w:val="18"/>
          <w:color w:val="auto"/>
        </w:rPr>
      </w:pPr>
    </w:p>
    <w:p>
      <w:pPr>
        <w:ind w:left="1620" w:right="80"/>
        <w:spacing w:after="0" w:line="264" w:lineRule="auto"/>
        <w:rPr>
          <w:rFonts w:ascii="Arial" w:cs="Arial" w:eastAsia="Arial" w:hAnsi="Arial"/>
          <w:sz w:val="18"/>
          <w:szCs w:val="18"/>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Linked”. These instruments have been classified at inception by the Group as “Financial instruments at fair value though profit or loss”, see 3(f)(i), and note 7.</w:t>
      </w:r>
    </w:p>
    <w:p>
      <w:pPr>
        <w:spacing w:after="0" w:line="181" w:lineRule="exact"/>
        <w:rPr>
          <w:rFonts w:ascii="Arial" w:cs="Arial" w:eastAsia="Arial" w:hAnsi="Arial"/>
          <w:sz w:val="18"/>
          <w:szCs w:val="18"/>
          <w:color w:val="auto"/>
        </w:rPr>
      </w:pPr>
    </w:p>
    <w:p>
      <w:pPr>
        <w:ind w:left="1160" w:hanging="652"/>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rFonts w:ascii="Arial" w:cs="Arial" w:eastAsia="Arial" w:hAnsi="Arial"/>
          <w:sz w:val="18"/>
          <w:szCs w:val="18"/>
          <w:color w:val="auto"/>
        </w:rPr>
      </w:pPr>
    </w:p>
    <w:p>
      <w:pPr>
        <w:ind w:left="1140" w:right="20"/>
        <w:spacing w:after="0" w:line="292" w:lineRule="auto"/>
        <w:rPr>
          <w:rFonts w:ascii="Arial" w:cs="Arial" w:eastAsia="Arial" w:hAnsi="Arial"/>
          <w:sz w:val="18"/>
          <w:szCs w:val="18"/>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is assessing performance. Generally, financial information is required to be reported on the same basis as it is used internally for evaluating operating segment performance and deciding how to allocate resources to segments, note 26.</w:t>
      </w:r>
    </w:p>
    <w:p>
      <w:pPr>
        <w:spacing w:after="0" w:line="162" w:lineRule="exact"/>
        <w:rPr>
          <w:rFonts w:ascii="Arial" w:cs="Arial" w:eastAsia="Arial" w:hAnsi="Arial"/>
          <w:sz w:val="18"/>
          <w:szCs w:val="18"/>
          <w:color w:val="auto"/>
        </w:rPr>
      </w:pPr>
    </w:p>
    <w:p>
      <w:pPr>
        <w:ind w:left="1160" w:hanging="652"/>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3"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29.8.</w:t>
      </w:r>
    </w:p>
    <w:p>
      <w:pPr>
        <w:spacing w:after="0" w:line="19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25" w:lineRule="exact"/>
        <w:rPr>
          <w:sz w:val="20"/>
          <w:szCs w:val="20"/>
          <w:color w:val="auto"/>
        </w:rPr>
      </w:pPr>
    </w:p>
    <w:p>
      <w:pPr>
        <w:ind w:left="1160" w:hanging="652"/>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Securities sold subject to repurchase agreements (‘Repos’) are presented as pledged assets when the counterparty has the right to sell or repledge the collateral; the counterparty liability is included in the caption “Due to banks and correspondents” or “Deposits and obligations”, as appropriate, in the consolidated statements of financial position.</w:t>
      </w:r>
    </w:p>
    <w:p>
      <w:pPr>
        <w:spacing w:after="0" w:line="190" w:lineRule="exact"/>
        <w:rPr>
          <w:sz w:val="20"/>
          <w:szCs w:val="20"/>
          <w:color w:val="auto"/>
        </w:rPr>
      </w:pPr>
    </w:p>
    <w:p>
      <w:pPr>
        <w:ind w:left="1140" w:right="440"/>
        <w:spacing w:after="0" w:line="277" w:lineRule="auto"/>
        <w:rPr>
          <w:sz w:val="20"/>
          <w:szCs w:val="20"/>
          <w:color w:val="auto"/>
        </w:rPr>
      </w:pPr>
      <w:r>
        <w:rPr>
          <w:rFonts w:ascii="Arial" w:cs="Arial" w:eastAsia="Arial" w:hAnsi="Arial"/>
          <w:sz w:val="18"/>
          <w:szCs w:val="18"/>
          <w:color w:val="auto"/>
        </w:rPr>
        <w:t>The difference between sale and repurchase price is considered as interest and is accrued over the life of the related agreement using the effective interest method.</w:t>
      </w:r>
    </w:p>
    <w:p>
      <w:pPr>
        <w:sectPr>
          <w:pgSz w:w="11900" w:h="16838" w:orient="portrait"/>
          <w:cols w:equalWidth="0" w:num="1">
            <w:col w:w="11380"/>
          </w:cols>
          <w:pgMar w:left="240" w:top="483" w:right="279" w:bottom="1440" w:gutter="0" w:footer="0" w:header="0"/>
        </w:sectPr>
      </w:pP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(ab)</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 -</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For the purposes of the consolidated cash flow statement, cash and cash equivalents comprise balances of cash and non-restricted balances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with central banks, overnight deposits, time deposits and amounts due from banks with original maturities of three months or less.</w:t>
      </w:r>
    </w:p>
    <w:p>
      <w:pPr>
        <w:spacing w:after="0" w:line="200" w:lineRule="exact"/>
        <w:rPr>
          <w:sz w:val="20"/>
          <w:szCs w:val="20"/>
          <w:color w:val="auto"/>
        </w:rPr>
      </w:pPr>
    </w:p>
    <w:p>
      <w:pPr>
        <w:sectPr>
          <w:pgSz w:w="11900" w:h="16838" w:orient="portrait"/>
          <w:cols w:equalWidth="0" w:num="2">
            <w:col w:w="800" w:space="340"/>
            <w:col w:w="10240"/>
          </w:cols>
          <w:pgMar w:left="240" w:top="483" w:right="279" w:bottom="1440" w:gutter="0" w:footer="0" w:header="0"/>
          <w:type w:val="continuous"/>
        </w:sectPr>
      </w:pP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Reclassifications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When it is necessary, comparative figures have been reclassified to conform to the current year presentation. Certain transactions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reclassified in the current year presentation; in Management’s opinion those reclassifications are not significant to the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as of December 31, 2010 and 2009.</w:t>
      </w:r>
    </w:p>
    <w:p>
      <w:pPr>
        <w:spacing w:after="0" w:line="200" w:lineRule="exact"/>
        <w:rPr>
          <w:sz w:val="20"/>
          <w:szCs w:val="20"/>
          <w:color w:val="auto"/>
        </w:rPr>
      </w:pPr>
    </w:p>
    <w:p>
      <w:pPr>
        <w:sectPr>
          <w:pgSz w:w="11900" w:h="16838" w:orient="portrait"/>
          <w:cols w:equalWidth="0" w:num="2">
            <w:col w:w="780" w:space="360"/>
            <w:col w:w="10240"/>
          </w:cols>
          <w:pgMar w:left="240" w:top="483" w:right="279" w:bottom="1440" w:gutter="0" w:footer="0" w:header="0"/>
          <w:type w:val="continuous"/>
        </w:sectPr>
      </w:pPr>
    </w:p>
    <w:p>
      <w:pPr>
        <w:spacing w:after="0" w:line="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Recently issued International Financial Reporting Standards but not yet effective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not effective as December 31, 2010:</w:t>
      </w:r>
    </w:p>
    <w:p>
      <w:pPr>
        <w:spacing w:after="0" w:line="200" w:lineRule="exact"/>
        <w:rPr>
          <w:sz w:val="20"/>
          <w:szCs w:val="20"/>
          <w:color w:val="auto"/>
        </w:rPr>
      </w:pPr>
    </w:p>
    <w:p>
      <w:pPr>
        <w:sectPr>
          <w:pgSz w:w="11900" w:h="16838" w:orient="portrait"/>
          <w:cols w:equalWidth="0" w:num="2">
            <w:col w:w="800" w:space="340"/>
            <w:col w:w="10240"/>
          </w:cols>
          <w:pgMar w:left="240" w:top="483" w:right="27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120" w:hanging="478"/>
        <w:spacing w:after="0" w:line="308" w:lineRule="auto"/>
        <w:tabs>
          <w:tab w:leader="none" w:pos="162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IAS 24 “Related Party Disclosures” (Revised), effective for periods beginning on or after January 1, 2011. The amendment simplifies the identification of related party relationships, particularly in relation to significant influence and joint control.</w:t>
      </w:r>
    </w:p>
    <w:p>
      <w:pPr>
        <w:spacing w:after="0" w:line="146" w:lineRule="exact"/>
        <w:rPr>
          <w:rFonts w:ascii="Arial" w:cs="Arial" w:eastAsia="Arial" w:hAnsi="Arial"/>
          <w:sz w:val="17"/>
          <w:szCs w:val="17"/>
          <w:color w:val="auto"/>
        </w:rPr>
      </w:pPr>
    </w:p>
    <w:p>
      <w:pPr>
        <w:ind w:left="1620" w:right="20" w:hanging="478"/>
        <w:spacing w:after="0" w:line="257" w:lineRule="auto"/>
        <w:tabs>
          <w:tab w:leader="none" w:pos="1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IAS 32 “Financial Instruments: Presentation” – Classification of Rights Issues (Amendment), effective for annual periods beginning on or after February 1, 2010. The IAS amends the definition of a financial liability in order to classify rights issues (and certain options or warrants) as equity instruments in cases where such rights are given pro rata to all of the existing owners of the same class of an entity’s non-derivative equity instruments, or to acquire a fixed number of the entity’s own equity instruments for a fixed amount in any currency.</w:t>
      </w:r>
    </w:p>
    <w:p>
      <w:pPr>
        <w:spacing w:after="0" w:line="188" w:lineRule="exact"/>
        <w:rPr>
          <w:rFonts w:ascii="Arial" w:cs="Arial" w:eastAsia="Arial" w:hAnsi="Arial"/>
          <w:sz w:val="18"/>
          <w:szCs w:val="18"/>
          <w:color w:val="auto"/>
        </w:rPr>
      </w:pPr>
    </w:p>
    <w:p>
      <w:pPr>
        <w:ind w:left="1620" w:right="140" w:hanging="478"/>
        <w:spacing w:after="0" w:line="342" w:lineRule="auto"/>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IFRS 7 “Financial Instruments: Disclosures”, effective for periods beginning on or after July 1, 2011. The Amendment will introduce more extensive and onerous quantitative and qualitative disclosure requirements for derecognition of financial instruments.</w:t>
      </w:r>
    </w:p>
    <w:p>
      <w:pPr>
        <w:spacing w:after="0" w:line="123" w:lineRule="exact"/>
        <w:rPr>
          <w:rFonts w:ascii="Arial" w:cs="Arial" w:eastAsia="Arial" w:hAnsi="Arial"/>
          <w:sz w:val="16"/>
          <w:szCs w:val="16"/>
          <w:color w:val="auto"/>
        </w:rPr>
      </w:pPr>
    </w:p>
    <w:p>
      <w:pPr>
        <w:ind w:left="1620" w:right="60" w:hanging="478"/>
        <w:spacing w:after="0" w:line="279" w:lineRule="auto"/>
        <w:tabs>
          <w:tab w:leader="none" w:pos="162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IFRS 9 “Financial Instruments “, the IASB issued this IFRS as the first step in its project to replace IAS 39 “Financial Instruments: Recognition and Measurement”. IFRS 9 introduces new requirements for classifying and measuring financial instruments that must be applied starting on January 1, 2013, with early adoption permitted. The IASB intends to expand IFRS 9 during 2011 to add new requirements for derecognition of financial instruments, impairment, and hedge accounting.</w:t>
      </w:r>
    </w:p>
    <w:p>
      <w:pPr>
        <w:spacing w:after="0" w:line="171" w:lineRule="exact"/>
        <w:rPr>
          <w:rFonts w:ascii="Arial" w:cs="Arial" w:eastAsia="Arial" w:hAnsi="Arial"/>
          <w:sz w:val="17"/>
          <w:szCs w:val="17"/>
          <w:color w:val="auto"/>
        </w:rPr>
      </w:pPr>
    </w:p>
    <w:p>
      <w:pPr>
        <w:ind w:left="1620" w:right="320" w:hanging="478"/>
        <w:spacing w:after="0" w:line="277" w:lineRule="auto"/>
        <w:tabs>
          <w:tab w:leader="none" w:pos="1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IFRIC 14 “Prepayments of a Minimum Funding Requirement” (Amendment), effective for periods beginning on or after January 1, 2011. The IFRIC permits an entity to treat the prepayment of a minimum funding requirement as an asset.</w:t>
      </w:r>
    </w:p>
    <w:p>
      <w:pPr>
        <w:spacing w:after="0" w:line="170" w:lineRule="exact"/>
        <w:rPr>
          <w:rFonts w:ascii="Arial" w:cs="Arial" w:eastAsia="Arial" w:hAnsi="Arial"/>
          <w:sz w:val="18"/>
          <w:szCs w:val="18"/>
          <w:color w:val="auto"/>
        </w:rPr>
      </w:pPr>
    </w:p>
    <w:p>
      <w:pPr>
        <w:ind w:left="1620" w:right="180" w:hanging="478"/>
        <w:spacing w:after="0" w:line="291" w:lineRule="auto"/>
        <w:tabs>
          <w:tab w:leader="none" w:pos="16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Improvements to IFRSs (issued in May 2010) The IASB issued Improvements to IFRSs, an omnibus of amendments and improves to its IFRS standards. The amendments have not been adopted as they become effective for annual periods on or after January 1, 2011.</w:t>
      </w:r>
    </w:p>
    <w:p>
      <w:pPr>
        <w:ind w:left="1140" w:right="740"/>
        <w:spacing w:after="0" w:line="261" w:lineRule="auto"/>
        <w:rPr>
          <w:sz w:val="20"/>
          <w:szCs w:val="20"/>
          <w:color w:val="auto"/>
        </w:rPr>
      </w:pPr>
      <w:r>
        <w:rPr>
          <w:rFonts w:ascii="Arial" w:cs="Arial" w:eastAsia="Arial" w:hAnsi="Arial"/>
          <w:sz w:val="18"/>
          <w:szCs w:val="18"/>
          <w:color w:val="auto"/>
        </w:rPr>
        <w:t>The Group is in process of assessing the impact, if any, that the application of these standards may have on its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0" w:type="dxa"/>
            <w:vAlign w:val="bottom"/>
            <w:gridSpan w:val="3"/>
          </w:tcPr>
          <w:p>
            <w:pPr>
              <w:ind w:left="100"/>
              <w:spacing w:after="0"/>
              <w:rPr>
                <w:sz w:val="20"/>
                <w:szCs w:val="20"/>
                <w:color w:val="auto"/>
              </w:rPr>
            </w:pPr>
            <w:r>
              <w:rPr>
                <w:rFonts w:ascii="Arial" w:cs="Arial" w:eastAsia="Arial" w:hAnsi="Arial"/>
                <w:sz w:val="18"/>
                <w:szCs w:val="18"/>
                <w:b w:val="1"/>
                <w:bCs w:val="1"/>
                <w:color w:val="auto"/>
              </w:rPr>
              <w:t>4.   Cash and due from banks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771,297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679,694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6,307,977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2,107,635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1,496,561</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1,047,830</w:t>
            </w:r>
          </w:p>
        </w:tc>
        <w:tc>
          <w:tcPr>
            <w:tcW w:w="80" w:type="dxa"/>
            <w:vAlign w:val="bottom"/>
            <w:tcBorders>
              <w:bottom w:val="single" w:sz="8" w:color="CCFFCC"/>
            </w:tcBorders>
            <w:shd w:val="clear" w:color="auto" w:fill="CCFFCC"/>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8,575,835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3,835,159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interest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7,020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1,499</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8,582,855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3,836,658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Arial" w:cs="Arial" w:eastAsia="Arial" w:hAnsi="Arial"/>
                <w:sz w:val="18"/>
                <w:szCs w:val="18"/>
                <w:color w:val="auto"/>
              </w:rPr>
              <w:t>F-37</w:t>
            </w:r>
          </w:p>
        </w:tc>
        <w:tc>
          <w:tcPr>
            <w:tcW w:w="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right="500" w:hanging="652"/>
        <w:spacing w:after="0" w:line="286" w:lineRule="auto"/>
        <w:tabs>
          <w:tab w:leader="none" w:pos="11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As of December 31, 2010 and 2009, cash and due from banks balances include approximately US$3,282.7 and US$2,611.5 million, respectively, mainly from Banco de Crédito del Perú (BCP), which represent the legal reserve that Peruvian banks must maintain for its obligations with the public, and are within the limits established by prevailing Peruvian legislation at those dates.</w:t>
      </w:r>
    </w:p>
    <w:p>
      <w:pPr>
        <w:spacing w:after="0" w:line="165" w:lineRule="exact"/>
        <w:rPr>
          <w:rFonts w:ascii="Arial" w:cs="Arial" w:eastAsia="Arial" w:hAnsi="Arial"/>
          <w:sz w:val="17"/>
          <w:szCs w:val="17"/>
          <w:color w:val="auto"/>
        </w:rPr>
      </w:pPr>
    </w:p>
    <w:p>
      <w:pPr>
        <w:ind w:left="1140" w:right="60"/>
        <w:spacing w:after="0" w:line="297" w:lineRule="auto"/>
        <w:rPr>
          <w:rFonts w:ascii="Arial" w:cs="Arial" w:eastAsia="Arial" w:hAnsi="Arial"/>
          <w:sz w:val="17"/>
          <w:szCs w:val="17"/>
          <w:color w:val="auto"/>
        </w:rPr>
      </w:pPr>
      <w:r>
        <w:rPr>
          <w:rFonts w:ascii="Arial" w:cs="Arial" w:eastAsia="Arial" w:hAnsi="Arial"/>
          <w:sz w:val="16"/>
          <w:szCs w:val="16"/>
          <w:color w:val="auto"/>
        </w:rPr>
        <w:t>The legal reserve funds maintained with BCRP are not interest-bearing, except for the part of the mandatory reserve in U.S. Dollars and in nuevos soles that exceeds the minimum legal reserve (as of December 31, 2009, only excesses in U.S Dollars of mandatory reserves were interest-bearing). As of December 31, 2010, the excess in U.S. Dollars amounts to US$1,953.9 million and bear interest at an annual average interest rate of 0.16 percent, while the excess in nuevos soles amounts to S/.660.6 million, equivalent to US$235.2 million and bear interest at an annual average interest rate of 1.2 percent (US$1,790.8 million and 0.14 percent, respectively, as of December 31, 2009).</w:t>
      </w:r>
    </w:p>
    <w:p>
      <w:pPr>
        <w:spacing w:after="0" w:line="158" w:lineRule="exact"/>
        <w:rPr>
          <w:rFonts w:ascii="Arial" w:cs="Arial" w:eastAsia="Arial" w:hAnsi="Arial"/>
          <w:sz w:val="17"/>
          <w:szCs w:val="17"/>
          <w:color w:val="auto"/>
        </w:rPr>
      </w:pPr>
    </w:p>
    <w:p>
      <w:pPr>
        <w:ind w:left="1140"/>
        <w:spacing w:after="0" w:line="264" w:lineRule="auto"/>
        <w:rPr>
          <w:rFonts w:ascii="Arial" w:cs="Arial" w:eastAsia="Arial" w:hAnsi="Arial"/>
          <w:sz w:val="17"/>
          <w:szCs w:val="17"/>
          <w:color w:val="auto"/>
        </w:rPr>
      </w:pPr>
      <w:r>
        <w:rPr>
          <w:rFonts w:ascii="Arial" w:cs="Arial" w:eastAsia="Arial" w:hAnsi="Arial"/>
          <w:sz w:val="18"/>
          <w:szCs w:val="18"/>
          <w:color w:val="auto"/>
        </w:rPr>
        <w:t>In October 2010, the BCRP implemented new financial instruments in order to increase its effectiveness in monetary control. Therefore, since that date, the BCRP Certificates of deposit (CDBCRP) were replaced by fix term deposits (DPBCRP, for its Spanish acronym) that can only be acquired by bank entities established in Peru.</w:t>
      </w:r>
    </w:p>
    <w:p>
      <w:pPr>
        <w:spacing w:after="0" w:line="181" w:lineRule="exact"/>
        <w:rPr>
          <w:rFonts w:ascii="Arial" w:cs="Arial" w:eastAsia="Arial" w:hAnsi="Arial"/>
          <w:sz w:val="17"/>
          <w:szCs w:val="17"/>
          <w:color w:val="auto"/>
        </w:rPr>
      </w:pPr>
    </w:p>
    <w:p>
      <w:pPr>
        <w:ind w:left="1140" w:right="260"/>
        <w:spacing w:after="0" w:line="264" w:lineRule="auto"/>
        <w:rPr>
          <w:rFonts w:ascii="Arial" w:cs="Arial" w:eastAsia="Arial" w:hAnsi="Arial"/>
          <w:sz w:val="17"/>
          <w:szCs w:val="17"/>
          <w:color w:val="auto"/>
        </w:rPr>
      </w:pPr>
      <w:r>
        <w:rPr>
          <w:rFonts w:ascii="Arial" w:cs="Arial" w:eastAsia="Arial" w:hAnsi="Arial"/>
          <w:sz w:val="18"/>
          <w:szCs w:val="18"/>
          <w:color w:val="auto"/>
        </w:rPr>
        <w:t>The CDBCRP are presented in the caption “Investments available-for-sale”, see note 5 (f), until their maturity date, while the DPBCRP are presented as ”Cash and due from banks”. As of December 31, 2010, the DPBCRP are denominated in nuevos soles for an equivalent of US$3,649.8 million and bears an average annual interest rate of 3.06 percent.</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02"/>
        <w:spacing w:after="0"/>
        <w:tabs>
          <w:tab w:leader="none" w:pos="50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6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Unrealized gross amount</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Estimated</w:t>
            </w: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166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Unrealized gross amount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8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5"/>
              </w:rPr>
              <w:t>Losses (b)</w:t>
            </w:r>
          </w:p>
        </w:tc>
        <w:tc>
          <w:tcPr>
            <w:tcW w:w="140" w:type="dxa"/>
            <w:vAlign w:val="bottom"/>
            <w:vMerge w:val="restart"/>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6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Gains</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8"/>
              </w:rPr>
              <w:t>Losses (b)</w:t>
            </w:r>
          </w:p>
        </w:tc>
        <w:tc>
          <w:tcPr>
            <w:tcW w:w="160" w:type="dxa"/>
            <w:vAlign w:val="bottom"/>
            <w:vMerge w:val="restart"/>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Cost</w:t>
            </w:r>
          </w:p>
        </w:tc>
        <w:tc>
          <w:tcPr>
            <w:tcW w:w="8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3"/>
              </w:rPr>
              <w:t>cost</w:t>
            </w: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6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US$(000)</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US$(000)</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US$(000)</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US$(000)</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US$(000)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Fixed maturity -</w:t>
            </w: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w w:val="93"/>
              </w:rPr>
              <w:t>Corporate, leasing and subordinated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bonds (d)</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1,589,722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64,047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(14,288)</w:t>
            </w:r>
          </w:p>
        </w:tc>
        <w:tc>
          <w:tcPr>
            <w:tcW w:w="700" w:type="dxa"/>
            <w:vAlign w:val="bottom"/>
          </w:tcPr>
          <w:p>
            <w:pPr>
              <w:jc w:val="right"/>
              <w:spacing w:after="0"/>
              <w:rPr>
                <w:sz w:val="20"/>
                <w:szCs w:val="20"/>
                <w:color w:val="auto"/>
              </w:rPr>
            </w:pPr>
            <w:r>
              <w:rPr>
                <w:rFonts w:ascii="Arial" w:cs="Arial" w:eastAsia="Arial" w:hAnsi="Arial"/>
                <w:sz w:val="14"/>
                <w:szCs w:val="14"/>
                <w:color w:val="auto"/>
              </w:rPr>
              <w:t>1,639,481</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1,440,006</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54,932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(9,302)</w:t>
            </w:r>
          </w:p>
        </w:tc>
        <w:tc>
          <w:tcPr>
            <w:tcW w:w="680" w:type="dxa"/>
            <w:vAlign w:val="bottom"/>
          </w:tcPr>
          <w:p>
            <w:pPr>
              <w:jc w:val="right"/>
              <w:spacing w:after="0"/>
              <w:rPr>
                <w:sz w:val="20"/>
                <w:szCs w:val="20"/>
                <w:color w:val="auto"/>
              </w:rPr>
            </w:pPr>
            <w:r>
              <w:rPr>
                <w:rFonts w:ascii="Arial" w:cs="Arial" w:eastAsia="Arial" w:hAnsi="Arial"/>
                <w:sz w:val="14"/>
                <w:szCs w:val="14"/>
                <w:color w:val="auto"/>
              </w:rPr>
              <w:t>1,485,636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Government’s treasury bonds (e)</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596,992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70,656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(1,158)</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666,490</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904,424</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103,787</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(438)</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1,007,773</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BCRP certificates of deposit (f)</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363,829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363,850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1,545,343</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1,545,705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Restricted mutual funds (g)</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56,869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39,060</w:t>
            </w: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95,929</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53,104</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18,976</w:t>
            </w:r>
          </w:p>
        </w:tc>
        <w:tc>
          <w:tcPr>
            <w:tcW w:w="8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72,080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w w:val="99"/>
              </w:rPr>
              <w:t>Central Bank of Bolivia certificates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of deposit (h)</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86,528</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86,527</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111,102</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793</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111,895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Participation in RAL’s funds (i)</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80,195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80,195</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83,898</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83,898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Participations in mutual funds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68,030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9,385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77,139</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167,052</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7,726</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174,538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Bonds of international financial</w:t>
            </w: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shd w:val="clear" w:color="auto" w:fill="CCFFCC"/>
          </w:tcPr>
          <w:p>
            <w:pPr>
              <w:ind w:left="140"/>
              <w:spacing w:after="0"/>
              <w:rPr>
                <w:sz w:val="20"/>
                <w:szCs w:val="20"/>
                <w:color w:val="auto"/>
              </w:rPr>
            </w:pPr>
            <w:r>
              <w:rPr>
                <w:rFonts w:ascii="Arial" w:cs="Arial" w:eastAsia="Arial" w:hAnsi="Arial"/>
                <w:sz w:val="14"/>
                <w:szCs w:val="14"/>
                <w:color w:val="auto"/>
              </w:rPr>
              <w:t>entities</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59,910</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3,328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(86)</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63,152</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66,267</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2,811</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69,078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w w:val="96"/>
              </w:rPr>
              <w:t>Collateralized mortgage obligations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(CMO) (j)</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47,871</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48,154</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67,810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(5,092)</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62,733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Negotiable certificates of deposit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24,126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1,021</w:t>
            </w: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25,147</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24,126</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2,337</w:t>
            </w:r>
          </w:p>
        </w:tc>
        <w:tc>
          <w:tcPr>
            <w:tcW w:w="8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26,463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line="130" w:lineRule="exact"/>
              <w:rPr>
                <w:sz w:val="20"/>
                <w:szCs w:val="20"/>
                <w:color w:val="auto"/>
              </w:rPr>
            </w:pPr>
            <w:r>
              <w:rPr>
                <w:rFonts w:ascii="Arial" w:cs="Arial" w:eastAsia="Arial" w:hAnsi="Arial"/>
                <w:sz w:val="14"/>
                <w:szCs w:val="14"/>
                <w:color w:val="auto"/>
              </w:rPr>
              <w:t>US Government – Agencies and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4"/>
                <w:szCs w:val="14"/>
                <w:color w:val="auto"/>
              </w:rPr>
              <w:t>Sponsored Enterprises (k)</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14,409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15,125</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16,824</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540</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Hedge funds</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7,681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2,247</w:t>
            </w:r>
          </w:p>
        </w:tc>
        <w:tc>
          <w:tcPr>
            <w:tcW w:w="7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9,928</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10,811</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3,691</w:t>
            </w:r>
          </w:p>
        </w:tc>
        <w:tc>
          <w:tcPr>
            <w:tcW w:w="8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14,502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17,966</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18,317</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24,933</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674</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3,014,128</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191,246</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(15,940)</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3,189,434</w:t>
            </w: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4,515,700</w:t>
            </w:r>
          </w:p>
        </w:tc>
        <w:tc>
          <w:tcPr>
            <w:tcW w:w="1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196,668</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(15,105)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4,697,263</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Shares -</w:t>
            </w: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Listed securities (l)</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108,340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421,453</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529,341</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106,071</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185,412</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(1,304)</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Not-listed securities</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10,676</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783</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8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11,174</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35,464</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5,284</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40,554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4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119,016</w:t>
            </w:r>
          </w:p>
        </w:tc>
        <w:tc>
          <w:tcPr>
            <w:tcW w:w="12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422,236</w:t>
            </w:r>
          </w:p>
        </w:tc>
        <w:tc>
          <w:tcPr>
            <w:tcW w:w="22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540,515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141,535</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190,696</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(1,498)</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330,733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3,133,144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613,482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(16,677)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3,729,949</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4,657,235</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387,364</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(16,603)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5,027,996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140" w:type="dxa"/>
            <w:vAlign w:val="bottom"/>
          </w:tcPr>
          <w:p>
            <w:pPr>
              <w:spacing w:after="0" w:line="149" w:lineRule="exact"/>
              <w:rPr>
                <w:sz w:val="20"/>
                <w:szCs w:val="20"/>
                <w:color w:val="auto"/>
              </w:rPr>
            </w:pPr>
            <w:r>
              <w:rPr>
                <w:rFonts w:ascii="Arial" w:cs="Arial" w:eastAsia="Arial" w:hAnsi="Arial"/>
                <w:sz w:val="14"/>
                <w:szCs w:val="14"/>
                <w:color w:val="auto"/>
              </w:rPr>
              <w:t>Accrued interest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38,299</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3,768,248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5,079,606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80" w:hanging="646"/>
        <w:spacing w:after="0" w:line="264" w:lineRule="auto"/>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2010 and 2009 are of temporary nature. Management intents and has the ability to hold each investment for a period of time sufficient to allow for an anticipated recovery in fair value, until the earlier of its anticipated recovery or maturity.</w:t>
      </w:r>
    </w:p>
    <w:p>
      <w:pPr>
        <w:spacing w:after="0" w:line="181" w:lineRule="exact"/>
        <w:rPr>
          <w:rFonts w:ascii="Arial" w:cs="Arial" w:eastAsia="Arial" w:hAnsi="Arial"/>
          <w:sz w:val="18"/>
          <w:szCs w:val="18"/>
          <w:color w:val="auto"/>
        </w:rPr>
      </w:pPr>
    </w:p>
    <w:p>
      <w:pPr>
        <w:ind w:left="1160" w:hanging="652"/>
        <w:spacing w:after="0" w:line="264" w:lineRule="auto"/>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 the year ended December 31, 2010, as a result of the impairment assessment of its investments available-for-sale, the Group recorded an impairment amounting to US$3.3 million (US$9.8 million as of December 31, 2009), which is presented in the consolidated income statement caption “Impairment loss on available-for-sale investments”.</w:t>
      </w:r>
    </w:p>
    <w:p>
      <w:pPr>
        <w:spacing w:after="0" w:line="181"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The movement of “Available-for-sale investments reserves”, net of deferred income tax and non-controlling interest is presented in note 16(c).</w:t>
      </w:r>
    </w:p>
    <w:p>
      <w:pPr>
        <w:spacing w:after="0" w:line="248" w:lineRule="exact"/>
        <w:rPr>
          <w:rFonts w:ascii="Arial" w:cs="Arial" w:eastAsia="Arial" w:hAnsi="Arial"/>
          <w:sz w:val="18"/>
          <w:szCs w:val="18"/>
          <w:color w:val="auto"/>
        </w:rPr>
      </w:pPr>
    </w:p>
    <w:p>
      <w:pPr>
        <w:ind w:left="1160" w:hanging="652"/>
        <w:spacing w:after="0" w:line="286" w:lineRule="auto"/>
        <w:tabs>
          <w:tab w:leader="none" w:pos="116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As of December 31, 2010 and 2009, comprise mainly corporate bonds for US$1,561.8 and US$1,460.9 million, respectively, with maturities between January 2011 and November 2067 (between January 2010 and November 2066 as of December 31, 2009). These bonds accrue interests at annual effective rates that range between 1.33 and 8.57 percent for the bonds denominated in Peruvian currency (between 0.67 and 7.47 percent as of December 31, 2009), and between 0.13 and 17.35 percent for the bonds denominated in U.S. Dollars (between 0.38 and</w:t>
      </w:r>
    </w:p>
    <w:p>
      <w:pPr>
        <w:spacing w:after="0" w:line="1" w:lineRule="exact"/>
        <w:rPr>
          <w:rFonts w:ascii="Arial" w:cs="Arial" w:eastAsia="Arial" w:hAnsi="Arial"/>
          <w:sz w:val="16"/>
          <w:szCs w:val="16"/>
          <w:color w:val="auto"/>
        </w:rPr>
      </w:pPr>
    </w:p>
    <w:p>
      <w:pPr>
        <w:ind w:left="1160" w:right="180"/>
        <w:spacing w:after="0" w:line="261" w:lineRule="auto"/>
        <w:rPr>
          <w:rFonts w:ascii="Arial" w:cs="Arial" w:eastAsia="Arial" w:hAnsi="Arial"/>
          <w:sz w:val="16"/>
          <w:szCs w:val="16"/>
          <w:color w:val="auto"/>
        </w:rPr>
      </w:pPr>
      <w:r>
        <w:rPr>
          <w:rFonts w:ascii="Arial" w:cs="Arial" w:eastAsia="Arial" w:hAnsi="Arial"/>
          <w:sz w:val="18"/>
          <w:szCs w:val="18"/>
          <w:color w:val="auto"/>
        </w:rPr>
        <w:t>13.93 percent as of December 31, 2009). The unrealized losses on these investments as of December 31, 2010, corresponded to 57 items of which the highest individual unrealized loss amounts to approximately US$1.1 million.</w:t>
      </w:r>
    </w:p>
    <w:p>
      <w:pPr>
        <w:spacing w:after="0" w:line="183" w:lineRule="exact"/>
        <w:rPr>
          <w:rFonts w:ascii="Arial" w:cs="Arial" w:eastAsia="Arial" w:hAnsi="Arial"/>
          <w:sz w:val="16"/>
          <w:szCs w:val="16"/>
          <w:color w:val="auto"/>
        </w:rPr>
      </w:pPr>
    </w:p>
    <w:p>
      <w:pPr>
        <w:ind w:left="1160" w:hanging="652"/>
        <w:spacing w:after="0"/>
        <w:tabs>
          <w:tab w:leader="none" w:pos="116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As of December 31, 2010, includes mainly debt instruments issued by the Peruvian Government in nuevos soles for an equivalent of</w:t>
      </w:r>
    </w:p>
    <w:p>
      <w:pPr>
        <w:spacing w:after="0" w:line="34" w:lineRule="exact"/>
        <w:rPr>
          <w:rFonts w:ascii="Arial" w:cs="Arial" w:eastAsia="Arial" w:hAnsi="Arial"/>
          <w:sz w:val="17"/>
          <w:szCs w:val="17"/>
          <w:color w:val="auto"/>
        </w:rPr>
      </w:pPr>
    </w:p>
    <w:p>
      <w:pPr>
        <w:ind w:left="1160" w:right="60"/>
        <w:spacing w:after="0" w:line="271" w:lineRule="auto"/>
        <w:rPr>
          <w:rFonts w:ascii="Arial" w:cs="Arial" w:eastAsia="Arial" w:hAnsi="Arial"/>
          <w:sz w:val="17"/>
          <w:szCs w:val="17"/>
          <w:color w:val="auto"/>
        </w:rPr>
      </w:pPr>
      <w:r>
        <w:rPr>
          <w:rFonts w:ascii="Arial" w:cs="Arial" w:eastAsia="Arial" w:hAnsi="Arial"/>
          <w:sz w:val="17"/>
          <w:szCs w:val="17"/>
          <w:color w:val="auto"/>
        </w:rPr>
        <w:t>US$227.0 million and in U.S. Dollars for US$276.3 million, the Colombian Government in U.S. Dollars for US$110.6 million, the Chilean Government in U.S Dollars for US$9.3 million, and the Brazilian Government in U.S. Dollars for US$3.0 million (US$786.7, US$153.8 and US$19.1 million, issued by the Peruvian, Colombian and Brazilian Goverments, respectively, as of December 31, 2009). Their maturities are between January 2011 and November 2050 (between March 2010 and August 2046 as of December 31, 2009) and their effective annual rates range between 0.38 and 9.54 percent (between 1.06 and 9.50 percent as of December 31, 2009).</w:t>
      </w:r>
    </w:p>
    <w:p>
      <w:pPr>
        <w:spacing w:after="0" w:line="178" w:lineRule="exact"/>
        <w:rPr>
          <w:rFonts w:ascii="Arial" w:cs="Arial" w:eastAsia="Arial" w:hAnsi="Arial"/>
          <w:sz w:val="17"/>
          <w:szCs w:val="17"/>
          <w:color w:val="auto"/>
        </w:rPr>
      </w:pPr>
    </w:p>
    <w:p>
      <w:pPr>
        <w:ind w:left="1140" w:right="80"/>
        <w:spacing w:after="0" w:line="257" w:lineRule="auto"/>
        <w:rPr>
          <w:rFonts w:ascii="Arial" w:cs="Arial" w:eastAsia="Arial" w:hAnsi="Arial"/>
          <w:sz w:val="17"/>
          <w:szCs w:val="17"/>
          <w:color w:val="auto"/>
        </w:rPr>
      </w:pPr>
      <w:r>
        <w:rPr>
          <w:rFonts w:ascii="Arial" w:cs="Arial" w:eastAsia="Arial" w:hAnsi="Arial"/>
          <w:sz w:val="18"/>
          <w:szCs w:val="18"/>
          <w:color w:val="auto"/>
        </w:rPr>
        <w:t>In April 2010, the Bank participated in an exchange program offered by the Peruvian Government by which the Bank exchanged 7.500 percent euro denominated Global Bonds due 2014 (“The 2014 Bonds”) for cash and new bonds 8.375 percent US$-Denominated Global Bonds due 2033, “The 2033 Bonds”. The Bank received €90.4 million in cash and US$323.1 million in 2033 Bonds. The Bank recorded the unrealized gain amounting to US$31.8 million as a realized gain in the caption “Net gain on sale of securities” of the consolidated statement of income.</w:t>
      </w:r>
    </w:p>
    <w:p>
      <w:pPr>
        <w:spacing w:after="0" w:line="188" w:lineRule="exact"/>
        <w:rPr>
          <w:rFonts w:ascii="Arial" w:cs="Arial" w:eastAsia="Arial" w:hAnsi="Arial"/>
          <w:sz w:val="17"/>
          <w:szCs w:val="17"/>
          <w:color w:val="auto"/>
        </w:rPr>
      </w:pPr>
    </w:p>
    <w:p>
      <w:pPr>
        <w:jc w:val="both"/>
        <w:ind w:left="1140" w:right="180"/>
        <w:spacing w:after="0" w:line="264" w:lineRule="auto"/>
        <w:rPr>
          <w:rFonts w:ascii="Arial" w:cs="Arial" w:eastAsia="Arial" w:hAnsi="Arial"/>
          <w:sz w:val="17"/>
          <w:szCs w:val="17"/>
          <w:color w:val="auto"/>
        </w:rPr>
      </w:pPr>
      <w:r>
        <w:rPr>
          <w:rFonts w:ascii="Arial" w:cs="Arial" w:eastAsia="Arial" w:hAnsi="Arial"/>
          <w:sz w:val="18"/>
          <w:szCs w:val="18"/>
          <w:color w:val="auto"/>
        </w:rPr>
        <w:t>Additionally, at the exchange date, the Bank terminated the related cross currency swaps (“CCS”) amounting to US$318.3 million that were part of its fair value hedge strategy, generating a loss amounting to approximately US$15.7 million, which is presented in the caption “Loss from hedging derivatives instruments” of the consolidated income statement, see note 20.</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right="20" w:hanging="652"/>
        <w:spacing w:after="0" w:line="257" w:lineRule="auto"/>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BCRP certificates of deposit are issued at discount, acquired in public auctions and negotiated in the Peruvian secondary market. As of December 31, 2010, the balance of BCRP certificates of deposit is comprised by US$48.9 million of certificates settled in U.S. Dollars, and S/.884.8 million of certificates settled in nuevos soles, equivalent to US$315.0 million; their annual effective interest rates range between 3.03 and 3.09 percent for certificates settled in U.S. Dollars, and between 3.01 and 3.45 percent for certificates settled in nuevos soles and their maturities are between January and June 2011.</w:t>
      </w:r>
    </w:p>
    <w:p>
      <w:pPr>
        <w:spacing w:after="0" w:line="188" w:lineRule="exact"/>
        <w:rPr>
          <w:rFonts w:ascii="Arial" w:cs="Arial" w:eastAsia="Arial" w:hAnsi="Arial"/>
          <w:sz w:val="18"/>
          <w:szCs w:val="18"/>
          <w:color w:val="auto"/>
        </w:rPr>
      </w:pPr>
    </w:p>
    <w:p>
      <w:pPr>
        <w:ind w:left="1140" w:right="4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2009, the balance comprised S/.4,467.1 million, equivalent to US$1,545.7 million, corresponding to certificates settled in nuevos soles; their annual effective interest rates ranged between 1.13 y 1.39 percent and their maturities were between January and July 2010.</w:t>
      </w:r>
    </w:p>
    <w:p>
      <w:pPr>
        <w:spacing w:after="0" w:line="181" w:lineRule="exact"/>
        <w:rPr>
          <w:rFonts w:ascii="Arial" w:cs="Arial" w:eastAsia="Arial" w:hAnsi="Arial"/>
          <w:sz w:val="18"/>
          <w:szCs w:val="18"/>
          <w:color w:val="auto"/>
        </w:rPr>
      </w:pPr>
    </w:p>
    <w:p>
      <w:pPr>
        <w:ind w:left="1140" w:right="100"/>
        <w:spacing w:after="0" w:line="277" w:lineRule="auto"/>
        <w:rPr>
          <w:rFonts w:ascii="Arial" w:cs="Arial" w:eastAsia="Arial" w:hAnsi="Arial"/>
          <w:sz w:val="18"/>
          <w:szCs w:val="18"/>
          <w:color w:val="auto"/>
        </w:rPr>
      </w:pPr>
      <w:r>
        <w:rPr>
          <w:rFonts w:ascii="Arial" w:cs="Arial" w:eastAsia="Arial" w:hAnsi="Arial"/>
          <w:sz w:val="18"/>
          <w:szCs w:val="18"/>
          <w:color w:val="auto"/>
        </w:rPr>
        <w:t>During 2010, at their maturity date, BCRP certificates of deposit in nuevos soles were replaced by BCRP fixed term deposits (DPBCRP), see note 4.</w:t>
      </w:r>
    </w:p>
    <w:p>
      <w:pPr>
        <w:spacing w:after="0" w:line="170" w:lineRule="exact"/>
        <w:rPr>
          <w:rFonts w:ascii="Arial" w:cs="Arial" w:eastAsia="Arial" w:hAnsi="Arial"/>
          <w:sz w:val="18"/>
          <w:szCs w:val="18"/>
          <w:color w:val="auto"/>
        </w:rPr>
      </w:pPr>
    </w:p>
    <w:p>
      <w:pPr>
        <w:ind w:left="1160" w:right="420" w:hanging="652"/>
        <w:spacing w:after="0" w:line="342" w:lineRule="auto"/>
        <w:tabs>
          <w:tab w:leader="none" w:pos="11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Restricted mutual funds comprise participation quotas in the private pension funds managed by the Group as required by Peruvian regulations. They have disposal restrictions and their profitability is the same as the one obtained by the private pension funds managed.</w:t>
      </w:r>
    </w:p>
    <w:p>
      <w:pPr>
        <w:spacing w:after="0" w:line="123" w:lineRule="exact"/>
        <w:rPr>
          <w:rFonts w:ascii="Arial" w:cs="Arial" w:eastAsia="Arial" w:hAnsi="Arial"/>
          <w:sz w:val="16"/>
          <w:szCs w:val="16"/>
          <w:color w:val="auto"/>
        </w:rPr>
      </w:pPr>
    </w:p>
    <w:p>
      <w:pPr>
        <w:ind w:left="1160" w:hanging="652"/>
        <w:spacing w:after="0" w:line="286" w:lineRule="auto"/>
        <w:tabs>
          <w:tab w:leader="none" w:pos="11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As of December 31, 2010 and 2009, certificates of deposits issued by the Central Bank of Bolivia are mainly denominated in Bolivianos, had maturities between January and December 2011 and between January and December 2010, respectively, and are discounted at annual effective rates that range between 0.11 and 0.81 percent and between 1.50 and 11.77 percent, respectively.</w:t>
      </w:r>
    </w:p>
    <w:p>
      <w:pPr>
        <w:spacing w:after="0" w:line="165" w:lineRule="exact"/>
        <w:rPr>
          <w:rFonts w:ascii="Arial" w:cs="Arial" w:eastAsia="Arial" w:hAnsi="Arial"/>
          <w:sz w:val="17"/>
          <w:szCs w:val="17"/>
          <w:color w:val="auto"/>
        </w:rPr>
      </w:pPr>
    </w:p>
    <w:p>
      <w:pPr>
        <w:ind w:left="1140" w:right="140"/>
        <w:spacing w:after="0" w:line="264" w:lineRule="auto"/>
        <w:rPr>
          <w:rFonts w:ascii="Arial" w:cs="Arial" w:eastAsia="Arial" w:hAnsi="Arial"/>
          <w:sz w:val="17"/>
          <w:szCs w:val="17"/>
          <w:color w:val="auto"/>
        </w:rPr>
      </w:pPr>
      <w:r>
        <w:rPr>
          <w:rFonts w:ascii="Arial" w:cs="Arial" w:eastAsia="Arial" w:hAnsi="Arial"/>
          <w:sz w:val="18"/>
          <w:szCs w:val="18"/>
          <w:color w:val="auto"/>
        </w:rPr>
        <w:t>As of December 31, 2009, the Group entered into Repo transactions in Bolivianos with its clients for an equivalent of US$35.0 million using these securities. At that date, these transactions earned interest at market rates in Bolivia and with maturities in February 2010. The related liability is presented in the caption “Deposits and obligations”, see note 12.</w:t>
      </w:r>
    </w:p>
    <w:p>
      <w:pPr>
        <w:spacing w:after="0" w:line="181" w:lineRule="exact"/>
        <w:rPr>
          <w:rFonts w:ascii="Arial" w:cs="Arial" w:eastAsia="Arial" w:hAnsi="Arial"/>
          <w:sz w:val="17"/>
          <w:szCs w:val="17"/>
          <w:color w:val="auto"/>
        </w:rPr>
      </w:pPr>
    </w:p>
    <w:p>
      <w:pPr>
        <w:ind w:left="1160" w:right="140" w:hanging="652"/>
        <w:spacing w:after="0" w:line="255" w:lineRule="auto"/>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acronym) are denominated in Bolivianos and U.S. Dollars; and amount approximately to Bolivianos 178.4 million, equivalent to US$25.7 million, and US$54.5 million, respectively (Bolivianos 170.1 million, equivalent to US$24.4 million, and US$59.9 million, respectively, as of December 31, 2009). Comprise investments made by the Group in the Central Bank of Bolivia as collateral for deposits received from the public. RAL fund has restrictions for its use and is required for all banks established in Bolivia. As of December 31, 2010 and 2009 it accrues interest in Bolivianos and U.S. Dollars at annual effective rates of 4.50 and 10.25 percent..</w:t>
      </w:r>
    </w:p>
    <w:p>
      <w:pPr>
        <w:spacing w:after="0" w:line="193" w:lineRule="exact"/>
        <w:rPr>
          <w:rFonts w:ascii="Arial" w:cs="Arial" w:eastAsia="Arial" w:hAnsi="Arial"/>
          <w:sz w:val="18"/>
          <w:szCs w:val="18"/>
          <w:color w:val="auto"/>
        </w:rPr>
      </w:pPr>
    </w:p>
    <w:p>
      <w:pPr>
        <w:ind w:left="1160" w:right="160" w:hanging="652"/>
        <w:spacing w:after="0" w:line="264" w:lineRule="auto"/>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Collaterized mortgage obligations correspond to senior tranches and have maturities between January 2011 and January 2047 (between May 2033 and January 2047 as of December 31, 2009) and accrues interest at annual effective rates that ranges between 2.76 and 11.85 percent (between 3.43 and 13.70 percent as of December 31, 2009).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right="160" w:hanging="652"/>
        <w:spacing w:after="0" w:line="264" w:lineRule="auto"/>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Corresponds to debt instruments issued by US Government – Agencies and Sponsored Entities. Their maturities are between July 2011 and August 2038 (between January 2010 and August 2038 as of December 31, 2009) and earned interest at annual effective rates between 1.61 and 5.86 percent (between 3.98 and 5.77 percent as of December 31, 2009).</w:t>
      </w:r>
    </w:p>
    <w:p>
      <w:pPr>
        <w:spacing w:after="0" w:line="181" w:lineRule="exact"/>
        <w:rPr>
          <w:rFonts w:ascii="Arial" w:cs="Arial" w:eastAsia="Arial" w:hAnsi="Arial"/>
          <w:sz w:val="18"/>
          <w:szCs w:val="18"/>
          <w:color w:val="auto"/>
        </w:rPr>
      </w:pPr>
    </w:p>
    <w:p>
      <w:pPr>
        <w:ind w:left="1160" w:right="220" w:hanging="652"/>
        <w:spacing w:after="0" w:line="286" w:lineRule="auto"/>
        <w:tabs>
          <w:tab w:leader="none" w:pos="11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As of December 31, 2010, the unrealized gains on listed securities arises mainly from shares in Banco de Crédito e Inversiones de Chile – BCI Chile, Inversiones Centenario S.A., Alicorp S.A.A. and Edelnor S.A., which amounted to US$212.5, US$57.5, US$67.7 and US$39.6 million, respectively (US$70.9, US$41.2, US$25.6 and US$22.8 million, respectively, as of December 31, 2009).</w:t>
      </w:r>
    </w:p>
    <w:p>
      <w:pPr>
        <w:spacing w:after="0" w:line="165" w:lineRule="exact"/>
        <w:rPr>
          <w:rFonts w:ascii="Arial" w:cs="Arial" w:eastAsia="Arial" w:hAnsi="Arial"/>
          <w:sz w:val="17"/>
          <w:szCs w:val="17"/>
          <w:color w:val="auto"/>
        </w:rPr>
      </w:pPr>
    </w:p>
    <w:p>
      <w:pPr>
        <w:ind w:left="1160" w:hanging="652"/>
        <w:spacing w:after="0" w:line="259" w:lineRule="auto"/>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of December 31, 2010 and 2009, the Group maintains interest rate swaps (“IRS”), which were designated as fair value hedges of fix bonds denominated in U.S. Dollars issued by the Peruvian Government, corporate and international financial entities, for a notional amount of US$54.6 million (US$55.0 million as of December 31, 2009), see note 11 (b); through the IRS these bonds were economically converted to variable rate. The IRS have maturities between July 2015 and June 2019.</w:t>
      </w:r>
    </w:p>
    <w:p>
      <w:pPr>
        <w:spacing w:after="0" w:line="186" w:lineRule="exact"/>
        <w:rPr>
          <w:rFonts w:ascii="Arial" w:cs="Arial" w:eastAsia="Arial" w:hAnsi="Arial"/>
          <w:sz w:val="18"/>
          <w:szCs w:val="18"/>
          <w:color w:val="auto"/>
        </w:rPr>
      </w:pPr>
    </w:p>
    <w:p>
      <w:pPr>
        <w:ind w:left="1140" w:right="20"/>
        <w:spacing w:after="0" w:line="264" w:lineRule="auto"/>
        <w:rPr>
          <w:rFonts w:ascii="Arial" w:cs="Arial" w:eastAsia="Arial" w:hAnsi="Arial"/>
          <w:sz w:val="18"/>
          <w:szCs w:val="18"/>
          <w:color w:val="auto"/>
        </w:rPr>
      </w:pPr>
      <w:r>
        <w:rPr>
          <w:rFonts w:ascii="Arial" w:cs="Arial" w:eastAsia="Arial" w:hAnsi="Arial"/>
          <w:sz w:val="18"/>
          <w:szCs w:val="18"/>
          <w:color w:val="auto"/>
        </w:rPr>
        <w:t>In addition to the CCS explained in paragraph (e), as of December 31, 2009, the Group maintained forward exchange contracts which were designated as cash flow hedge for a notional amount of US$71.2 million, related to bonds issued by the Colombian Government denominated in Pesos Colombianos, which matured on March 1, 2010; see note 11(b).</w:t>
      </w:r>
    </w:p>
    <w:p>
      <w:pPr>
        <w:spacing w:after="0" w:line="181" w:lineRule="exact"/>
        <w:rPr>
          <w:rFonts w:ascii="Arial" w:cs="Arial" w:eastAsia="Arial" w:hAnsi="Arial"/>
          <w:sz w:val="18"/>
          <w:szCs w:val="18"/>
          <w:color w:val="auto"/>
        </w:rPr>
      </w:pPr>
    </w:p>
    <w:p>
      <w:pPr>
        <w:ind w:left="1160" w:right="440" w:hanging="652"/>
        <w:spacing w:after="0" w:line="342" w:lineRule="auto"/>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As of December 31, 2010, the Group entered into Repo transactions over corporate and government bonds for approximately US$250.0 million, with maturity in June 2012; the related liability is presented in the caption “Deposits and obligations”, see note 12.</w:t>
      </w:r>
    </w:p>
    <w:p>
      <w:pPr>
        <w:spacing w:after="0" w:line="123" w:lineRule="exact"/>
        <w:rPr>
          <w:rFonts w:ascii="Arial" w:cs="Arial" w:eastAsia="Arial" w:hAnsi="Arial"/>
          <w:sz w:val="16"/>
          <w:szCs w:val="16"/>
          <w:color w:val="auto"/>
        </w:rPr>
      </w:pPr>
    </w:p>
    <w:p>
      <w:pPr>
        <w:ind w:left="1160" w:hanging="652"/>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Amortized cost and estimated fair value of investments available-for-sale classified by contractual maturity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14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Amortized</w:t>
            </w: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0"/>
              </w:rPr>
              <w:t>cost</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cost</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US$(000)</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499,506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551,049</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1,419,936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1,451,352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880" w:type="dxa"/>
            <w:vAlign w:val="bottom"/>
          </w:tcPr>
          <w:p>
            <w:pPr>
              <w:jc w:val="right"/>
              <w:spacing w:after="0"/>
              <w:rPr>
                <w:sz w:val="20"/>
                <w:szCs w:val="20"/>
                <w:color w:val="auto"/>
              </w:rPr>
            </w:pPr>
            <w:r>
              <w:rPr>
                <w:rFonts w:ascii="Arial" w:cs="Arial" w:eastAsia="Arial" w:hAnsi="Arial"/>
                <w:sz w:val="18"/>
                <w:szCs w:val="18"/>
                <w:color w:val="auto"/>
              </w:rPr>
              <w:t>358,952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360,334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919,290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459,529</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471,609</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505,941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From 3 to 5 years</w:t>
            </w:r>
          </w:p>
        </w:tc>
        <w:tc>
          <w:tcPr>
            <w:tcW w:w="880" w:type="dxa"/>
            <w:vAlign w:val="bottom"/>
          </w:tcPr>
          <w:p>
            <w:pPr>
              <w:jc w:val="right"/>
              <w:spacing w:after="0"/>
              <w:rPr>
                <w:sz w:val="20"/>
                <w:szCs w:val="20"/>
                <w:color w:val="auto"/>
              </w:rPr>
            </w:pPr>
            <w:r>
              <w:rPr>
                <w:rFonts w:ascii="Arial" w:cs="Arial" w:eastAsia="Arial" w:hAnsi="Arial"/>
                <w:sz w:val="18"/>
                <w:szCs w:val="18"/>
                <w:color w:val="auto"/>
              </w:rPr>
              <w:t>425,033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440,222</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677,097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1,271,108</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4"/>
              </w:rPr>
              <w:t>1,366,220</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993,436</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1,076,816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119,016</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540,515</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141,535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330,733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3,133,144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3,729,949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4,657,235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5,027,996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02"/>
        <w:spacing w:after="0"/>
        <w:tabs>
          <w:tab w:leader="none" w:pos="5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Loans</w:t>
            </w:r>
          </w:p>
        </w:tc>
        <w:tc>
          <w:tcPr>
            <w:tcW w:w="900" w:type="dxa"/>
            <w:vAlign w:val="bottom"/>
          </w:tcPr>
          <w:p>
            <w:pPr>
              <w:jc w:val="right"/>
              <w:spacing w:after="0"/>
              <w:rPr>
                <w:sz w:val="20"/>
                <w:szCs w:val="20"/>
                <w:color w:val="auto"/>
              </w:rPr>
            </w:pPr>
            <w:r>
              <w:rPr>
                <w:rFonts w:ascii="Arial" w:cs="Arial" w:eastAsia="Arial" w:hAnsi="Arial"/>
                <w:sz w:val="18"/>
                <w:szCs w:val="18"/>
                <w:color w:val="auto"/>
              </w:rPr>
              <w:t>9,836,155</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7,927,451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2,359,236</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1,997,562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900" w:type="dxa"/>
            <w:vAlign w:val="bottom"/>
          </w:tcPr>
          <w:p>
            <w:pPr>
              <w:jc w:val="right"/>
              <w:spacing w:after="0"/>
              <w:rPr>
                <w:sz w:val="20"/>
                <w:szCs w:val="20"/>
                <w:color w:val="auto"/>
              </w:rPr>
            </w:pPr>
            <w:r>
              <w:rPr>
                <w:rFonts w:ascii="Arial" w:cs="Arial" w:eastAsia="Arial" w:hAnsi="Arial"/>
                <w:sz w:val="18"/>
                <w:szCs w:val="18"/>
                <w:color w:val="auto"/>
              </w:rPr>
              <w:t>1,305,883</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1,059,433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477,709</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349,126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Factoring receivables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250,974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163,443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104,495</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47,147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76,707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59,459</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209,908</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184,567</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14,621,067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11,788,188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Accrued interest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97,294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80,316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(343,003)</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(282,869)</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(415,703)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(354,355)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13,959,655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11,231,280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Indirect loans, note 19(a)</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3,135,211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2,528,135</w:t>
            </w: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rPr>
                <w:sz w:val="20"/>
                <w:szCs w:val="20"/>
                <w:color w:val="auto"/>
              </w:rPr>
            </w:pPr>
            <w:r>
              <w:rPr>
                <w:rFonts w:ascii="Arial" w:cs="Arial" w:eastAsia="Arial" w:hAnsi="Arial"/>
                <w:sz w:val="18"/>
                <w:szCs w:val="18"/>
                <w:color w:val="auto"/>
              </w:rPr>
              <w:t>(b)</w:t>
            </w:r>
          </w:p>
        </w:tc>
        <w:tc>
          <w:tcPr>
            <w:tcW w:w="200" w:type="dxa"/>
            <w:vAlign w:val="bottom"/>
          </w:tcPr>
          <w:p>
            <w:pPr>
              <w:spacing w:after="0" w:line="20" w:lineRule="exact"/>
              <w:rPr>
                <w:sz w:val="1"/>
                <w:szCs w:val="1"/>
                <w:color w:val="auto"/>
              </w:rPr>
            </w:pPr>
          </w:p>
        </w:tc>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Loans by class are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10,760,767</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8,566,659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900" w:type="dxa"/>
            <w:vAlign w:val="bottom"/>
          </w:tcPr>
          <w:p>
            <w:pPr>
              <w:jc w:val="right"/>
              <w:spacing w:after="0"/>
              <w:rPr>
                <w:sz w:val="20"/>
                <w:szCs w:val="20"/>
                <w:color w:val="auto"/>
              </w:rPr>
            </w:pPr>
            <w:r>
              <w:rPr>
                <w:rFonts w:ascii="Arial" w:cs="Arial" w:eastAsia="Arial" w:hAnsi="Arial"/>
                <w:sz w:val="18"/>
                <w:szCs w:val="18"/>
                <w:color w:val="auto"/>
              </w:rPr>
              <w:t>2,145,093</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1,753,736</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Consumer loans</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1,715,207</w:t>
            </w:r>
          </w:p>
        </w:tc>
        <w:tc>
          <w:tcPr>
            <w:tcW w:w="16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1,467,793</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6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14,621,067</w:t>
            </w:r>
          </w:p>
        </w:tc>
        <w:tc>
          <w:tcPr>
            <w:tcW w:w="160" w:type="dxa"/>
            <w:vAlign w:val="bottom"/>
            <w:tcBorders>
              <w:bottom w:val="single" w:sz="8" w:color="CCFFCC"/>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11,788,188</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652"/>
        <w:spacing w:after="0"/>
        <w:tabs>
          <w:tab w:leader="none" w:pos="11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1"/>
              </w:rPr>
              <w:t>Commercial</w:t>
            </w:r>
          </w:p>
        </w:tc>
        <w:tc>
          <w:tcPr>
            <w:tcW w:w="132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mortgage 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210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243,796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41,471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90,782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Provision</w:t>
            </w:r>
          </w:p>
        </w:tc>
        <w:tc>
          <w:tcPr>
            <w:tcW w:w="2100" w:type="dxa"/>
            <w:vAlign w:val="bottom"/>
            <w:gridSpan w:val="3"/>
          </w:tcPr>
          <w:p>
            <w:pPr>
              <w:jc w:val="right"/>
              <w:ind w:right="160"/>
              <w:spacing w:after="0"/>
              <w:rPr>
                <w:sz w:val="20"/>
                <w:szCs w:val="20"/>
                <w:color w:val="auto"/>
              </w:rPr>
            </w:pPr>
            <w:r>
              <w:rPr>
                <w:rFonts w:ascii="Arial" w:cs="Arial" w:eastAsia="Arial" w:hAnsi="Arial"/>
                <w:sz w:val="18"/>
                <w:szCs w:val="18"/>
                <w:color w:val="auto"/>
              </w:rPr>
              <w:t>87,125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8,398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79,159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210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19,867</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2,517</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12,221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2100" w:type="dxa"/>
            <w:vAlign w:val="bottom"/>
            <w:gridSpan w:val="3"/>
          </w:tcPr>
          <w:p>
            <w:pPr>
              <w:jc w:val="right"/>
              <w:ind w:right="100"/>
              <w:spacing w:after="0"/>
              <w:rPr>
                <w:sz w:val="20"/>
                <w:szCs w:val="20"/>
                <w:color w:val="auto"/>
              </w:rPr>
            </w:pPr>
            <w:r>
              <w:rPr>
                <w:rFonts w:ascii="Arial" w:cs="Arial" w:eastAsia="Arial" w:hAnsi="Arial"/>
                <w:sz w:val="18"/>
                <w:szCs w:val="18"/>
                <w:color w:val="auto"/>
              </w:rPr>
              <w:t>(63,128)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(78,755)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(142,736)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210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1,904</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3,302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00" w:type="dxa"/>
            <w:vAlign w:val="bottom"/>
            <w:shd w:val="clear" w:color="auto" w:fill="CCFFCC"/>
          </w:tcPr>
          <w:p>
            <w:pPr>
              <w:spacing w:after="0"/>
              <w:rPr>
                <w:sz w:val="20"/>
                <w:szCs w:val="20"/>
                <w:color w:val="auto"/>
              </w:rPr>
            </w:pPr>
          </w:p>
        </w:tc>
        <w:tc>
          <w:tcPr>
            <w:tcW w:w="11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289,564</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52,324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106,709</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448,597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Commercial</w:t>
            </w:r>
          </w:p>
        </w:tc>
        <w:tc>
          <w:tcPr>
            <w:tcW w:w="40" w:type="dxa"/>
            <w:vAlign w:val="bottom"/>
          </w:tcPr>
          <w:p>
            <w:pPr>
              <w:spacing w:after="0"/>
              <w:rPr>
                <w:sz w:val="17"/>
                <w:szCs w:val="17"/>
                <w:color w:val="auto"/>
              </w:rPr>
            </w:pPr>
          </w:p>
        </w:tc>
        <w:tc>
          <w:tcPr>
            <w:tcW w:w="132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mortgage 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4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12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30,832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56,061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Provision</w:t>
            </w:r>
          </w:p>
        </w:tc>
        <w:tc>
          <w:tcPr>
            <w:tcW w:w="2060" w:type="dxa"/>
            <w:vAlign w:val="bottom"/>
            <w:gridSpan w:val="3"/>
          </w:tcPr>
          <w:p>
            <w:pPr>
              <w:jc w:val="right"/>
              <w:ind w:right="120"/>
              <w:spacing w:after="0"/>
              <w:rPr>
                <w:sz w:val="20"/>
                <w:szCs w:val="20"/>
                <w:color w:val="auto"/>
              </w:rPr>
            </w:pPr>
            <w:r>
              <w:rPr>
                <w:rFonts w:ascii="Arial" w:cs="Arial" w:eastAsia="Arial" w:hAnsi="Arial"/>
                <w:sz w:val="18"/>
                <w:szCs w:val="18"/>
                <w:color w:val="auto"/>
              </w:rPr>
              <w:t>79,551</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9,781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74,060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20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12,984</w:t>
            </w:r>
          </w:p>
        </w:tc>
        <w:tc>
          <w:tcPr>
            <w:tcW w:w="13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939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 of Edyficar, note 2</w:t>
            </w:r>
          </w:p>
        </w:tc>
        <w:tc>
          <w:tcPr>
            <w:tcW w:w="2060" w:type="dxa"/>
            <w:vAlign w:val="bottom"/>
            <w:gridSpan w:val="3"/>
          </w:tcPr>
          <w:p>
            <w:pPr>
              <w:jc w:val="right"/>
              <w:ind w:right="120"/>
              <w:spacing w:after="0"/>
              <w:rPr>
                <w:sz w:val="20"/>
                <w:szCs w:val="20"/>
                <w:color w:val="auto"/>
              </w:rPr>
            </w:pPr>
            <w:r>
              <w:rPr>
                <w:rFonts w:ascii="Arial" w:cs="Arial" w:eastAsia="Arial" w:hAnsi="Arial"/>
                <w:sz w:val="18"/>
                <w:szCs w:val="18"/>
                <w:color w:val="auto"/>
              </w:rPr>
              <w:t>19,443</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2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(32,364)</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(958)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(54,605)</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Translation result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771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3,905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Ending balances (*)</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243,796</w:t>
            </w:r>
          </w:p>
        </w:tc>
        <w:tc>
          <w:tcPr>
            <w:tcW w:w="12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41,471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90,782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376,049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2008</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1"/>
              </w:rPr>
              <w:t>Commercial</w:t>
            </w:r>
          </w:p>
        </w:tc>
        <w:tc>
          <w:tcPr>
            <w:tcW w:w="132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Consumer</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mortgage loans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loans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210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184,584</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14,454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30,662</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Provision (recoveries)</w:t>
            </w:r>
          </w:p>
        </w:tc>
        <w:tc>
          <w:tcPr>
            <w:tcW w:w="2100" w:type="dxa"/>
            <w:vAlign w:val="bottom"/>
            <w:gridSpan w:val="3"/>
          </w:tcPr>
          <w:p>
            <w:pPr>
              <w:jc w:val="right"/>
              <w:ind w:right="100"/>
              <w:spacing w:after="0"/>
              <w:rPr>
                <w:sz w:val="20"/>
                <w:szCs w:val="20"/>
                <w:color w:val="auto"/>
              </w:rPr>
            </w:pPr>
            <w:r>
              <w:rPr>
                <w:rFonts w:ascii="Arial" w:cs="Arial" w:eastAsia="Arial" w:hAnsi="Arial"/>
                <w:sz w:val="18"/>
                <w:szCs w:val="18"/>
                <w:color w:val="auto"/>
              </w:rPr>
              <w:t>(10,667)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16,024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43,403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2100" w:type="dxa"/>
            <w:vAlign w:val="bottom"/>
            <w:tcBorders>
              <w:righ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19,956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10,515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2100" w:type="dxa"/>
            <w:vAlign w:val="bottom"/>
            <w:gridSpan w:val="3"/>
          </w:tcPr>
          <w:p>
            <w:pPr>
              <w:jc w:val="right"/>
              <w:ind w:right="100"/>
              <w:spacing w:after="0"/>
              <w:rPr>
                <w:sz w:val="20"/>
                <w:szCs w:val="20"/>
                <w:color w:val="auto"/>
              </w:rPr>
            </w:pPr>
            <w:r>
              <w:rPr>
                <w:rFonts w:ascii="Arial" w:cs="Arial" w:eastAsia="Arial" w:hAnsi="Arial"/>
                <w:sz w:val="18"/>
                <w:szCs w:val="18"/>
                <w:color w:val="auto"/>
              </w:rPr>
              <w:t>(31,595)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(27,422)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2100" w:type="dxa"/>
            <w:vAlign w:val="bottom"/>
            <w:tcBorders>
              <w:righ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(1,108)</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(1,097)</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00" w:type="dxa"/>
            <w:vAlign w:val="bottom"/>
            <w:shd w:val="clear" w:color="auto" w:fill="CCFFCC"/>
          </w:tcPr>
          <w:p>
            <w:pPr>
              <w:spacing w:after="0"/>
              <w:rPr>
                <w:sz w:val="20"/>
                <w:szCs w:val="20"/>
                <w:color w:val="auto"/>
              </w:rPr>
            </w:pPr>
          </w:p>
        </w:tc>
        <w:tc>
          <w:tcPr>
            <w:tcW w:w="11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161,170</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30,832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56,061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hanging="478"/>
        <w:spacing w:after="0" w:line="259" w:lineRule="auto"/>
        <w:tabs>
          <w:tab w:leader="none" w:pos="16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loans for approximately US$415.7 and US$32.9 million, respectively, as of December 31, 2010 (approximately US$354.4 and US$21.7 million; and US$224.3 and US$23.7 million, as of December 31, 2009 and 2008, respectively). The allowance for indirect loan losses is included in the caption “Other liabilities” of the consolidated statements of financial position, note 11(a).</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83" w:right="41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2010 and 2009 and 2008 has been established in accordance with IAS 39 and is sufficient to cover probable losses on the loan portfolio.</w:t>
      </w:r>
    </w:p>
    <w:p>
      <w:pPr>
        <w:spacing w:after="0" w:line="170" w:lineRule="exact"/>
        <w:rPr>
          <w:sz w:val="20"/>
          <w:szCs w:val="20"/>
          <w:color w:val="auto"/>
        </w:rPr>
      </w:pPr>
    </w:p>
    <w:p>
      <w:pPr>
        <w:ind w:left="1160" w:right="560" w:hanging="652"/>
        <w:spacing w:after="0" w:line="277" w:lineRule="auto"/>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70" w:lineRule="exact"/>
        <w:rPr>
          <w:rFonts w:ascii="Arial" w:cs="Arial" w:eastAsia="Arial" w:hAnsi="Arial"/>
          <w:sz w:val="18"/>
          <w:szCs w:val="18"/>
          <w:color w:val="auto"/>
        </w:rPr>
      </w:pPr>
    </w:p>
    <w:p>
      <w:pPr>
        <w:ind w:left="1160" w:right="260" w:hanging="652"/>
        <w:spacing w:after="0" w:line="286" w:lineRule="auto"/>
        <w:tabs>
          <w:tab w:leader="none" w:pos="11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Interest on past due for more than 90 days and under legal collection loans are recognized when collected. Interest income that would have been recorded for these loans in accordance with their original contract terms and have not been recognise as income amounts to approximately US$38.5, US$27.9 and US$17.0 as of December 31, 2010, 2009 and 2008, respectively.</w:t>
      </w:r>
    </w:p>
    <w:p>
      <w:pPr>
        <w:spacing w:after="0" w:line="165" w:lineRule="exact"/>
        <w:rPr>
          <w:rFonts w:ascii="Arial" w:cs="Arial" w:eastAsia="Arial" w:hAnsi="Arial"/>
          <w:sz w:val="17"/>
          <w:szCs w:val="17"/>
          <w:color w:val="auto"/>
        </w:rPr>
      </w:pPr>
    </w:p>
    <w:p>
      <w:pPr>
        <w:ind w:left="1160" w:right="100" w:hanging="652"/>
        <w:spacing w:after="0" w:line="277" w:lineRule="auto"/>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of December 31, 2010 and 2009, the direct gross loan portfolio classified by maturity, based on the remaining period to repayment date is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Up to 1 year</w:t>
            </w:r>
          </w:p>
        </w:tc>
        <w:tc>
          <w:tcPr>
            <w:tcW w:w="900" w:type="dxa"/>
            <w:vAlign w:val="bottom"/>
          </w:tcPr>
          <w:p>
            <w:pPr>
              <w:jc w:val="right"/>
              <w:spacing w:after="0"/>
              <w:rPr>
                <w:sz w:val="20"/>
                <w:szCs w:val="20"/>
                <w:color w:val="auto"/>
              </w:rPr>
            </w:pPr>
            <w:r>
              <w:rPr>
                <w:rFonts w:ascii="Arial" w:cs="Arial" w:eastAsia="Arial" w:hAnsi="Arial"/>
                <w:sz w:val="18"/>
                <w:szCs w:val="18"/>
                <w:color w:val="auto"/>
              </w:rPr>
              <w:t>6,812,586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6,269,810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3,404,766</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2,077,950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From 3 to 5 years</w:t>
            </w:r>
          </w:p>
        </w:tc>
        <w:tc>
          <w:tcPr>
            <w:tcW w:w="900" w:type="dxa"/>
            <w:vAlign w:val="bottom"/>
          </w:tcPr>
          <w:p>
            <w:pPr>
              <w:jc w:val="right"/>
              <w:spacing w:after="0"/>
              <w:rPr>
                <w:sz w:val="20"/>
                <w:szCs w:val="20"/>
                <w:color w:val="auto"/>
              </w:rPr>
            </w:pPr>
            <w:r>
              <w:rPr>
                <w:rFonts w:ascii="Arial" w:cs="Arial" w:eastAsia="Arial" w:hAnsi="Arial"/>
                <w:sz w:val="18"/>
                <w:szCs w:val="18"/>
                <w:color w:val="auto"/>
              </w:rPr>
              <w:t>1,805,760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1,218,240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2,388,047</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2,037,621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Up to 4 months</w:t>
            </w:r>
          </w:p>
        </w:tc>
        <w:tc>
          <w:tcPr>
            <w:tcW w:w="900" w:type="dxa"/>
            <w:vAlign w:val="bottom"/>
          </w:tcPr>
          <w:p>
            <w:pPr>
              <w:jc w:val="right"/>
              <w:spacing w:after="0"/>
              <w:rPr>
                <w:sz w:val="20"/>
                <w:szCs w:val="20"/>
                <w:color w:val="auto"/>
              </w:rPr>
            </w:pPr>
            <w:r>
              <w:rPr>
                <w:rFonts w:ascii="Arial" w:cs="Arial" w:eastAsia="Arial" w:hAnsi="Arial"/>
                <w:sz w:val="18"/>
                <w:szCs w:val="18"/>
                <w:color w:val="auto"/>
              </w:rPr>
              <w:t>68,601</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64,158</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Under legal collection</w:t>
            </w:r>
          </w:p>
        </w:tc>
        <w:tc>
          <w:tcPr>
            <w:tcW w:w="900" w:type="dxa"/>
            <w:vAlign w:val="bottom"/>
          </w:tcPr>
          <w:p>
            <w:pPr>
              <w:jc w:val="right"/>
              <w:spacing w:after="0"/>
              <w:rPr>
                <w:sz w:val="20"/>
                <w:szCs w:val="20"/>
                <w:color w:val="auto"/>
              </w:rPr>
            </w:pPr>
            <w:r>
              <w:rPr>
                <w:rFonts w:ascii="Arial" w:cs="Arial" w:eastAsia="Arial" w:hAnsi="Arial"/>
                <w:sz w:val="18"/>
                <w:szCs w:val="18"/>
                <w:color w:val="auto"/>
              </w:rPr>
              <w:t>77,149</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14,621,067</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11,788,188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02"/>
        <w:spacing w:after="0"/>
        <w:tabs>
          <w:tab w:leader="none" w:pos="5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880" w:type="dxa"/>
            <w:vAlign w:val="bottom"/>
            <w:gridSpan w:val="4"/>
          </w:tcPr>
          <w:p>
            <w:pPr>
              <w:ind w:left="60"/>
              <w:spacing w:after="0"/>
              <w:rPr>
                <w:sz w:val="20"/>
                <w:szCs w:val="20"/>
                <w:color w:val="auto"/>
              </w:rPr>
            </w:pPr>
            <w:r>
              <w:rPr>
                <w:rFonts w:ascii="Arial" w:cs="Arial" w:eastAsia="Arial" w:hAnsi="Arial"/>
                <w:sz w:val="18"/>
                <w:szCs w:val="18"/>
                <w:color w:val="auto"/>
              </w:rPr>
              <w:t>US$(000)   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 (b)</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139,554</w:t>
            </w:r>
          </w:p>
        </w:tc>
        <w:tc>
          <w:tcPr>
            <w:tcW w:w="1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115,007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Unit Linked financial assets (c)</w:t>
            </w:r>
          </w:p>
        </w:tc>
        <w:tc>
          <w:tcPr>
            <w:tcW w:w="820" w:type="dxa"/>
            <w:vAlign w:val="bottom"/>
          </w:tcPr>
          <w:p>
            <w:pPr>
              <w:jc w:val="right"/>
              <w:spacing w:after="0"/>
              <w:rPr>
                <w:sz w:val="20"/>
                <w:szCs w:val="20"/>
                <w:color w:val="auto"/>
              </w:rPr>
            </w:pPr>
            <w:r>
              <w:rPr>
                <w:rFonts w:ascii="Arial" w:cs="Arial" w:eastAsia="Arial" w:hAnsi="Arial"/>
                <w:sz w:val="18"/>
                <w:szCs w:val="18"/>
                <w:color w:val="auto"/>
              </w:rPr>
              <w:t>39,501</w:t>
            </w: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179,055</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652"/>
        <w:spacing w:after="0" w:line="291" w:lineRule="auto"/>
        <w:tabs>
          <w:tab w:leader="none" w:pos="11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 connection with the liabilities that result from Credicorp´s stock appreciation rights (SARs), (note 18), BCP signed several contracts with Citigroup Global Markets Holdings Inc., Citigroup Capital Limited, Citigroup Capital Market Inc. (collectively hereinafter “Citigroup”) and Credit Agricole Corporate and Investment Bank (hereinafter “Calyon”). These contracts consist of the purchase of certificates indexed to the performance of Credicorp Ltd. (BAP) shares, in the form of “warrants” issued by Citigroup and Calyon, with the same number of Credicorp Ltd. shares. These certificates are cash settled and their final settlement price is equivalent to the daily volume-weighted average of the per share price for BAP shares on each business day, on which Citigroup or any of its affiliates or Calyon effects any transactions with respect to BAP shares in order to unwind its position established and maintained to hedge its price and market risk with respect to the issued certificates.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certificates have a maturity of 5 years but can be settled anytime before their maturity, partially or totally. As of December 31, 2010 and</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2009, the Group had acquired 1,152,414 and 1,472,414 certificates, respectively, at a total cost of US$70.9 and US$87.8 million, respectively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(US$61.5 and US$67.8 per certificate on average, respectively). At those dates, the estimated market value amounted to US$139.6 and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US$115.0 million, respectively (US$121.1 and US$78.1 per certificate on average, as of December 31, 2010 and 2009, respectively). For the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year 2010, the gain resulting from the difference between cost and estimated market value amounted to approximately US$58.1 million (gain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of US$37.3 million for the year 2009) and has been recorded in the caption “Net gain on financial assets and liabilities designated at fair value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through profit or loss” of the consolidated statement of income, according to the accounting principle described in note 3(x).</w:t>
      </w:r>
    </w:p>
    <w:p>
      <w:pPr>
        <w:spacing w:after="0" w:line="211" w:lineRule="exact"/>
        <w:rPr>
          <w:sz w:val="20"/>
          <w:szCs w:val="20"/>
          <w:color w:val="auto"/>
        </w:rPr>
      </w:pPr>
    </w:p>
    <w:p>
      <w:pPr>
        <w:ind w:left="1160" w:right="100" w:hanging="652"/>
        <w:spacing w:after="0" w:line="254" w:lineRule="auto"/>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Group issues unit linked life insurance contracts whereby the policyholder bears the investment risk on the assets held in the unit linked funds as the policy benefits are directly linked to the value of the assets in the fund. The Group’s exposure to market risk on this business is limited to the extent that income arising from asset management charges is based on the value of assets in the fund. For the year 2010, the gain resulting from the difference between cost and estimated market value for these financial assets amounted to approximately US$6.4 million (US$5.5 million for the year 2009) and is presented in the caption “Net gain on financial assets and liabilities designated at fair value through profit or loss” of the consolidated statement of income, according to the accounting principles described in note 3(x). The offsetting of this effect is included in gross premiums which are part of the caption “Net premiums earned” of the consolidated statement of income in note 22.</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02"/>
        <w:spacing w:after="0"/>
        <w:tabs>
          <w:tab w:leader="none" w:pos="50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1160" w:hanging="652"/>
        <w:spacing w:after="0" w:line="261" w:lineRule="auto"/>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As of December 31, 2010 and 2009, the caption “Premiums and other policies receivable” includes balances which primarily due in a current period, have no collaterals and present no material past due balances.</w:t>
      </w:r>
    </w:p>
    <w:p>
      <w:pPr>
        <w:spacing w:after="0" w:line="183" w:lineRule="exact"/>
        <w:rPr>
          <w:rFonts w:ascii="Arial" w:cs="Arial" w:eastAsia="Arial" w:hAnsi="Arial"/>
          <w:sz w:val="18"/>
          <w:szCs w:val="18"/>
          <w:color w:val="auto"/>
        </w:rPr>
      </w:pPr>
    </w:p>
    <w:p>
      <w:pPr>
        <w:ind w:left="1140" w:right="2200" w:hanging="632"/>
        <w:spacing w:after="0" w:line="498" w:lineRule="auto"/>
        <w:tabs>
          <w:tab w:leader="none" w:pos="1154"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 Accounts receivable:</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137,098</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Reported claims of premiums ceded, note 23</w:t>
            </w:r>
          </w:p>
        </w:tc>
        <w:tc>
          <w:tcPr>
            <w:tcW w:w="820" w:type="dxa"/>
            <w:vAlign w:val="bottom"/>
          </w:tcPr>
          <w:p>
            <w:pPr>
              <w:jc w:val="right"/>
              <w:spacing w:after="0"/>
              <w:rPr>
                <w:sz w:val="20"/>
                <w:szCs w:val="20"/>
                <w:color w:val="auto"/>
              </w:rPr>
            </w:pPr>
            <w:r>
              <w:rPr>
                <w:rFonts w:ascii="Arial" w:cs="Arial" w:eastAsia="Arial" w:hAnsi="Arial"/>
                <w:sz w:val="18"/>
                <w:szCs w:val="18"/>
                <w:color w:val="auto"/>
              </w:rPr>
              <w:t>31,618</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 note 22(**)</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32,421</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Premiums assumed</w:t>
            </w:r>
          </w:p>
        </w:tc>
        <w:tc>
          <w:tcPr>
            <w:tcW w:w="820" w:type="dxa"/>
            <w:vAlign w:val="bottom"/>
          </w:tcPr>
          <w:p>
            <w:pPr>
              <w:jc w:val="right"/>
              <w:spacing w:after="0"/>
              <w:rPr>
                <w:sz w:val="20"/>
                <w:szCs w:val="20"/>
                <w:color w:val="auto"/>
              </w:rPr>
            </w:pPr>
            <w:r>
              <w:rPr>
                <w:rFonts w:ascii="Arial" w:cs="Arial" w:eastAsia="Arial" w:hAnsi="Arial"/>
                <w:sz w:val="18"/>
                <w:szCs w:val="18"/>
                <w:color w:val="auto"/>
              </w:rPr>
              <w:t>22,882</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 by facultative contracts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18,895</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Collections and other</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(82,665)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820" w:type="dxa"/>
            <w:vAlign w:val="bottom"/>
          </w:tcPr>
          <w:p>
            <w:pPr>
              <w:jc w:val="right"/>
              <w:spacing w:after="0"/>
              <w:rPr>
                <w:sz w:val="20"/>
                <w:szCs w:val="20"/>
                <w:color w:val="auto"/>
              </w:rPr>
            </w:pPr>
            <w:r>
              <w:rPr>
                <w:rFonts w:ascii="Arial" w:cs="Arial" w:eastAsia="Arial" w:hAnsi="Arial"/>
                <w:sz w:val="18"/>
                <w:szCs w:val="18"/>
                <w:color w:val="auto"/>
              </w:rPr>
              <w:t>160,249</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137,098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right="540"/>
        <w:spacing w:after="0" w:line="277" w:lineRule="auto"/>
        <w:rPr>
          <w:sz w:val="20"/>
          <w:szCs w:val="20"/>
          <w:color w:val="auto"/>
        </w:rPr>
      </w:pPr>
      <w:r>
        <w:rPr>
          <w:rFonts w:ascii="Arial" w:cs="Arial" w:eastAsia="Arial" w:hAnsi="Arial"/>
          <w:sz w:val="18"/>
          <w:szCs w:val="18"/>
          <w:color w:val="auto"/>
        </w:rPr>
        <w:t>Accounts receivable as of December 31, 2010 and 2009, include US$49.0 and US$16.6 million, respectively, which correspond to the unearned portion of the ceded premiums to the reinsurers.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820" w:type="dxa"/>
            <w:vAlign w:val="bottom"/>
            <w:shd w:val="clear" w:color="auto" w:fill="CCFFCC"/>
          </w:tcPr>
          <w:p>
            <w:pPr>
              <w:jc w:val="center"/>
              <w:ind w:left="250"/>
              <w:spacing w:after="0"/>
              <w:rPr>
                <w:sz w:val="20"/>
                <w:szCs w:val="20"/>
                <w:color w:val="auto"/>
              </w:rPr>
            </w:pPr>
            <w:r>
              <w:rPr>
                <w:rFonts w:ascii="Arial" w:cs="Arial" w:eastAsia="Arial" w:hAnsi="Arial"/>
                <w:sz w:val="18"/>
                <w:szCs w:val="18"/>
                <w:color w:val="auto"/>
                <w:w w:val="87"/>
              </w:rPr>
              <w:t>48,009</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Premiums ceded to reinsurers by facultative contracts</w:t>
            </w:r>
          </w:p>
        </w:tc>
        <w:tc>
          <w:tcPr>
            <w:tcW w:w="820" w:type="dxa"/>
            <w:vAlign w:val="bottom"/>
          </w:tcPr>
          <w:p>
            <w:pPr>
              <w:jc w:val="center"/>
              <w:ind w:left="250"/>
              <w:spacing w:after="0"/>
              <w:rPr>
                <w:sz w:val="20"/>
                <w:szCs w:val="20"/>
                <w:color w:val="auto"/>
              </w:rPr>
            </w:pPr>
            <w:r>
              <w:rPr>
                <w:rFonts w:ascii="Arial" w:cs="Arial" w:eastAsia="Arial" w:hAnsi="Arial"/>
                <w:sz w:val="18"/>
                <w:szCs w:val="18"/>
                <w:color w:val="auto"/>
                <w:w w:val="87"/>
              </w:rPr>
              <w:t>94,416</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820" w:type="dxa"/>
            <w:vAlign w:val="bottom"/>
            <w:shd w:val="clear" w:color="auto" w:fill="CCFFCC"/>
          </w:tcPr>
          <w:p>
            <w:pPr>
              <w:jc w:val="center"/>
              <w:ind w:left="250"/>
              <w:spacing w:after="0"/>
              <w:rPr>
                <w:sz w:val="20"/>
                <w:szCs w:val="20"/>
                <w:color w:val="auto"/>
              </w:rPr>
            </w:pPr>
            <w:r>
              <w:rPr>
                <w:rFonts w:ascii="Arial" w:cs="Arial" w:eastAsia="Arial" w:hAnsi="Arial"/>
                <w:sz w:val="18"/>
                <w:szCs w:val="18"/>
                <w:color w:val="auto"/>
                <w:w w:val="87"/>
              </w:rPr>
              <w:t>11,774</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Payments and other</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(93,424)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820" w:type="dxa"/>
            <w:vAlign w:val="bottom"/>
          </w:tcPr>
          <w:p>
            <w:pPr>
              <w:jc w:val="center"/>
              <w:ind w:left="250"/>
              <w:spacing w:after="0"/>
              <w:rPr>
                <w:sz w:val="20"/>
                <w:szCs w:val="20"/>
                <w:color w:val="auto"/>
              </w:rPr>
            </w:pPr>
            <w:r>
              <w:rPr>
                <w:rFonts w:ascii="Arial" w:cs="Arial" w:eastAsia="Arial" w:hAnsi="Arial"/>
                <w:sz w:val="18"/>
                <w:szCs w:val="18"/>
                <w:color w:val="auto"/>
                <w:w w:val="87"/>
              </w:rPr>
              <w:t>60,775</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right="240"/>
        <w:spacing w:after="0" w:line="255" w:lineRule="auto"/>
        <w:rPr>
          <w:sz w:val="20"/>
          <w:szCs w:val="20"/>
          <w:color w:val="auto"/>
        </w:rPr>
      </w:pPr>
      <w:r>
        <w:rPr>
          <w:rFonts w:ascii="Arial" w:cs="Arial" w:eastAsia="Arial" w:hAnsi="Arial"/>
          <w:sz w:val="18"/>
          <w:szCs w:val="18"/>
          <w:color w:val="auto"/>
        </w:rPr>
        <w:t>Accounts payable to reinsurers are primarily related to the proportional facultative contracts (on an individual basis) for ceded premiums, automatic non-proportional contracts (excess of loss) and reinstallation premiums. For facultative contracts the Group transfers to the reinsurers a percentage or an amount of an insurance contract or individual risk, based on the premium and the covered period. The net movement of the accounts payable of automatic contracts (mainly excess of loss) as well as reinstallation premiums of the years 2010 and 2009 are included in the concept “Payments and other” for US$33.3 million and U$30.9 million, respectively, see note 22.</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3" w:right="3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1160" w:hanging="652"/>
        <w:spacing w:after="0" w:line="261" w:lineRule="auto"/>
        <w:tabs>
          <w:tab w:leader="none" w:pos="116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2010 and 2009, is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Buildings and other</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Furniture</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Computer</w:t>
            </w: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0"/>
              </w:rPr>
              <w:t>Vehicles</w:t>
            </w: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Work</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Land</w:t>
            </w: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construction</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0"/>
              </w:rPr>
              <w:t>Installations</w:t>
            </w: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and fixtures</w:t>
            </w: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hardware</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and equipment</w:t>
            </w:r>
          </w:p>
        </w:tc>
        <w:tc>
          <w:tcPr>
            <w:tcW w:w="8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in progress</w:t>
            </w:r>
          </w:p>
        </w:tc>
        <w:tc>
          <w:tcPr>
            <w:tcW w:w="620" w:type="dxa"/>
            <w:vAlign w:val="bottom"/>
          </w:tcPr>
          <w:p>
            <w:pPr>
              <w:jc w:val="right"/>
              <w:ind w:right="146"/>
              <w:spacing w:after="0"/>
              <w:rPr>
                <w:sz w:val="20"/>
                <w:szCs w:val="20"/>
                <w:color w:val="auto"/>
              </w:rPr>
            </w:pPr>
            <w:r>
              <w:rPr>
                <w:rFonts w:ascii="Arial" w:cs="Arial" w:eastAsia="Arial" w:hAnsi="Arial"/>
                <w:sz w:val="11"/>
                <w:szCs w:val="11"/>
                <w:b w:val="1"/>
                <w:bCs w:val="1"/>
                <w:color w:val="auto"/>
              </w:rPr>
              <w:t>2010</w:t>
            </w:r>
          </w:p>
        </w:tc>
        <w:tc>
          <w:tcPr>
            <w:tcW w:w="160" w:type="dxa"/>
            <w:vAlign w:val="bottom"/>
          </w:tcPr>
          <w:p>
            <w:pPr>
              <w:spacing w:after="0"/>
              <w:rPr>
                <w:sz w:val="10"/>
                <w:szCs w:val="10"/>
                <w:color w:val="auto"/>
              </w:rPr>
            </w:pPr>
          </w:p>
        </w:tc>
        <w:tc>
          <w:tcPr>
            <w:tcW w:w="620" w:type="dxa"/>
            <w:vAlign w:val="bottom"/>
          </w:tcPr>
          <w:p>
            <w:pPr>
              <w:jc w:val="right"/>
              <w:ind w:right="146"/>
              <w:spacing w:after="0"/>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106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80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40,290</w:t>
            </w:r>
          </w:p>
        </w:tc>
        <w:tc>
          <w:tcPr>
            <w:tcW w:w="160" w:type="dxa"/>
            <w:vAlign w:val="bottom"/>
          </w:tcPr>
          <w:p>
            <w:pPr>
              <w:spacing w:after="0"/>
              <w:rPr>
                <w:sz w:val="10"/>
                <w:szCs w:val="10"/>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294,673</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117,601</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89,010</w:t>
            </w:r>
          </w:p>
        </w:tc>
        <w:tc>
          <w:tcPr>
            <w:tcW w:w="16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234,860</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28,741</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24,714</w:t>
            </w: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829,889</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784,993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2,366</w:t>
            </w:r>
          </w:p>
        </w:tc>
        <w:tc>
          <w:tcPr>
            <w:tcW w:w="160" w:type="dxa"/>
            <w:vAlign w:val="bottom"/>
            <w:shd w:val="clear" w:color="auto" w:fill="CCFFCC"/>
          </w:tcPr>
          <w:p>
            <w:pPr>
              <w:spacing w:after="0"/>
              <w:rPr>
                <w:sz w:val="10"/>
                <w:szCs w:val="10"/>
                <w:color w:val="auto"/>
              </w:rPr>
            </w:pPr>
          </w:p>
        </w:tc>
        <w:tc>
          <w:tcPr>
            <w:tcW w:w="10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697</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1,829</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8,280</w:t>
            </w:r>
          </w:p>
        </w:tc>
        <w:tc>
          <w:tcPr>
            <w:tcW w:w="16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12,237</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9,295</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45,480</w:t>
            </w:r>
          </w:p>
        </w:tc>
        <w:tc>
          <w:tcPr>
            <w:tcW w:w="18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80,184</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45,051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color w:val="auto"/>
              </w:rPr>
              <w:t>Acquisition of Edyficar, note 2(b)</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11,806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9,529</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1,532</w:t>
            </w:r>
          </w:p>
        </w:tc>
        <w:tc>
          <w:tcPr>
            <w:tcW w:w="16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1,935</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2,001</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(14,997)</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color w:val="auto"/>
              </w:rPr>
              <w:t>Sales and other</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(515)</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(909)</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(1,236)</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(3,814)</w:t>
            </w: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(785)</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(7,259)</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(11,961)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42,656</w:t>
            </w:r>
          </w:p>
        </w:tc>
        <w:tc>
          <w:tcPr>
            <w:tcW w:w="160" w:type="dxa"/>
            <w:vAlign w:val="bottom"/>
          </w:tcPr>
          <w:p>
            <w:pPr>
              <w:spacing w:after="0"/>
              <w:rPr>
                <w:sz w:val="11"/>
                <w:szCs w:val="11"/>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294,855</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128,050</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97,586</w:t>
            </w:r>
          </w:p>
        </w:tc>
        <w:tc>
          <w:tcPr>
            <w:tcW w:w="160" w:type="dxa"/>
            <w:vAlign w:val="bottom"/>
          </w:tcPr>
          <w:p>
            <w:pPr>
              <w:spacing w:after="0"/>
              <w:rPr>
                <w:sz w:val="11"/>
                <w:szCs w:val="11"/>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245,218</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39,252</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55,197</w:t>
            </w:r>
          </w:p>
        </w:tc>
        <w:tc>
          <w:tcPr>
            <w:tcW w:w="180" w:type="dxa"/>
            <w:vAlign w:val="bottom"/>
          </w:tcPr>
          <w:p>
            <w:pPr>
              <w:spacing w:after="0"/>
              <w:rPr>
                <w:sz w:val="11"/>
                <w:szCs w:val="11"/>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902,814</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829,889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b w:val="1"/>
                <w:bCs w:val="1"/>
                <w:color w:val="auto"/>
              </w:rPr>
              <w:t>Accumulated depreciation -</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153,372</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76,893</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64,080</w:t>
            </w:r>
          </w:p>
        </w:tc>
        <w:tc>
          <w:tcPr>
            <w:tcW w:w="16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186,136</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10,873</w:t>
            </w:r>
          </w:p>
        </w:tc>
        <w:tc>
          <w:tcPr>
            <w:tcW w:w="8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491,354</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455,535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color w:val="auto"/>
              </w:rPr>
              <w:t>Depreciation for the year</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7,834</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7,755</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4,140</w:t>
            </w:r>
          </w:p>
        </w:tc>
        <w:tc>
          <w:tcPr>
            <w:tcW w:w="16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21,873</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3,250</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44,852</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41,872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Acquisition of Edyficar, note 2(b)</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3,551</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color w:val="auto"/>
              </w:rPr>
              <w:t>Sales and other</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(424)</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(814)</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(1,073)</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(3,652)</w:t>
            </w:r>
          </w:p>
        </w:tc>
        <w:tc>
          <w:tcPr>
            <w:tcW w:w="8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(342)</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(6,305)</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(9,604)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160,782</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83,834</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67,147</w:t>
            </w:r>
          </w:p>
        </w:tc>
        <w:tc>
          <w:tcPr>
            <w:tcW w:w="160" w:type="dxa"/>
            <w:vAlign w:val="bottom"/>
          </w:tcPr>
          <w:p>
            <w:pPr>
              <w:spacing w:after="0"/>
              <w:rPr>
                <w:sz w:val="11"/>
                <w:szCs w:val="11"/>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204,357</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13,781</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529,901</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491,354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0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90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tcPr>
          <w:p>
            <w:pPr>
              <w:spacing w:after="0" w:line="122" w:lineRule="exact"/>
              <w:rPr>
                <w:sz w:val="20"/>
                <w:szCs w:val="20"/>
                <w:color w:val="auto"/>
              </w:rPr>
            </w:pPr>
            <w:r>
              <w:rPr>
                <w:rFonts w:ascii="Arial" w:cs="Arial" w:eastAsia="Arial" w:hAnsi="Arial"/>
                <w:sz w:val="11"/>
                <w:szCs w:val="11"/>
                <w:b w:val="1"/>
                <w:bCs w:val="1"/>
                <w:color w:val="auto"/>
              </w:rPr>
              <w:t>Net book value</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42,656</w:t>
            </w:r>
          </w:p>
        </w:tc>
        <w:tc>
          <w:tcPr>
            <w:tcW w:w="160" w:type="dxa"/>
            <w:vAlign w:val="bottom"/>
          </w:tcPr>
          <w:p>
            <w:pPr>
              <w:spacing w:after="0"/>
              <w:rPr>
                <w:sz w:val="10"/>
                <w:szCs w:val="10"/>
                <w:color w:val="auto"/>
              </w:rPr>
            </w:pPr>
          </w:p>
        </w:tc>
        <w:tc>
          <w:tcPr>
            <w:tcW w:w="10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134,073</w:t>
            </w:r>
          </w:p>
        </w:tc>
        <w:tc>
          <w:tcPr>
            <w:tcW w:w="8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44,216</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30,439</w:t>
            </w:r>
          </w:p>
        </w:tc>
        <w:tc>
          <w:tcPr>
            <w:tcW w:w="16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40,861</w:t>
            </w:r>
          </w:p>
        </w:tc>
        <w:tc>
          <w:tcPr>
            <w:tcW w:w="8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25,471</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55,197</w:t>
            </w: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372,913</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338,535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652"/>
        <w:spacing w:after="0"/>
        <w:tabs>
          <w:tab w:leader="none" w:pos="11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25" w:lineRule="exact"/>
        <w:rPr>
          <w:rFonts w:ascii="Arial" w:cs="Arial" w:eastAsia="Arial" w:hAnsi="Arial"/>
          <w:sz w:val="18"/>
          <w:szCs w:val="18"/>
          <w:color w:val="auto"/>
        </w:rPr>
      </w:pPr>
    </w:p>
    <w:p>
      <w:pPr>
        <w:ind w:left="1160" w:right="40" w:hanging="652"/>
        <w:spacing w:after="0" w:line="342" w:lineRule="auto"/>
        <w:tabs>
          <w:tab w:leader="none" w:pos="11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As of December 31, 2010, Credicorp and its Subsidiaries have property available for sale for approximately US$23.5 million, net of its accumulated depreciation amounting to approximately US$9.8 million (US$24.2 and US$9.6 million, respectively, as of December 31, 2009).</w:t>
      </w:r>
    </w:p>
    <w:p>
      <w:pPr>
        <w:spacing w:after="0" w:line="123" w:lineRule="exact"/>
        <w:rPr>
          <w:rFonts w:ascii="Arial" w:cs="Arial" w:eastAsia="Arial" w:hAnsi="Arial"/>
          <w:sz w:val="16"/>
          <w:szCs w:val="16"/>
          <w:color w:val="auto"/>
        </w:rPr>
      </w:pPr>
    </w:p>
    <w:p>
      <w:pPr>
        <w:ind w:left="1160" w:right="100" w:hanging="652"/>
        <w:spacing w:after="0" w:line="286" w:lineRule="auto"/>
        <w:tabs>
          <w:tab w:leader="none" w:pos="11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2010 and 2009 there is no evidence of impairment of the Group’s property, furniture and equipment.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movement of finite useful lives intangible assets for the years ended December 31, 2010 and 2009 is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Software and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0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Description</w:t>
            </w:r>
          </w:p>
        </w:tc>
        <w:tc>
          <w:tcPr>
            <w:tcW w:w="12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87"/>
              </w:rPr>
              <w:t>Client relationships</w:t>
            </w: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2"/>
              </w:rPr>
              <w:t>Rights of use</w:t>
            </w:r>
          </w:p>
        </w:tc>
        <w:tc>
          <w:tcPr>
            <w:tcW w:w="7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7"/>
              </w:rPr>
              <w:t>Brand name</w:t>
            </w:r>
          </w:p>
        </w:tc>
        <w:tc>
          <w:tcPr>
            <w:tcW w:w="980" w:type="dxa"/>
            <w:vAlign w:val="bottom"/>
            <w:gridSpan w:val="3"/>
          </w:tcPr>
          <w:p>
            <w:pPr>
              <w:jc w:val="center"/>
              <w:ind w:right="80"/>
              <w:spacing w:after="0" w:line="139" w:lineRule="exact"/>
              <w:rPr>
                <w:sz w:val="20"/>
                <w:szCs w:val="20"/>
                <w:color w:val="auto"/>
              </w:rPr>
            </w:pPr>
            <w:r>
              <w:rPr>
                <w:rFonts w:ascii="Arial" w:cs="Arial" w:eastAsia="Arial" w:hAnsi="Arial"/>
                <w:sz w:val="13"/>
                <w:szCs w:val="13"/>
                <w:b w:val="1"/>
                <w:bCs w:val="1"/>
                <w:color w:val="auto"/>
                <w:w w:val="84"/>
              </w:rPr>
              <w:t>developments</w:t>
            </w:r>
          </w:p>
        </w:tc>
        <w:tc>
          <w:tcPr>
            <w:tcW w:w="860" w:type="dxa"/>
            <w:vAlign w:val="bottom"/>
            <w:gridSpan w:val="2"/>
          </w:tcPr>
          <w:p>
            <w:pPr>
              <w:jc w:val="right"/>
              <w:ind w:right="360"/>
              <w:spacing w:after="0" w:line="139" w:lineRule="exact"/>
              <w:rPr>
                <w:sz w:val="20"/>
                <w:szCs w:val="20"/>
                <w:color w:val="auto"/>
              </w:rPr>
            </w:pPr>
            <w:r>
              <w:rPr>
                <w:rFonts w:ascii="Arial" w:cs="Arial" w:eastAsia="Arial" w:hAnsi="Arial"/>
                <w:sz w:val="13"/>
                <w:szCs w:val="13"/>
                <w:b w:val="1"/>
                <w:bCs w:val="1"/>
                <w:color w:val="auto"/>
              </w:rPr>
              <w:t>Other</w:t>
            </w:r>
          </w:p>
        </w:tc>
        <w:tc>
          <w:tcPr>
            <w:tcW w:w="700" w:type="dxa"/>
            <w:vAlign w:val="bottom"/>
          </w:tcPr>
          <w:p>
            <w:pPr>
              <w:jc w:val="right"/>
              <w:ind w:right="157"/>
              <w:spacing w:after="0" w:line="139"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2"/>
                <w:szCs w:val="12"/>
                <w:color w:val="auto"/>
              </w:rPr>
            </w:pPr>
          </w:p>
        </w:tc>
        <w:tc>
          <w:tcPr>
            <w:tcW w:w="700" w:type="dxa"/>
            <w:vAlign w:val="bottom"/>
          </w:tcPr>
          <w:p>
            <w:pPr>
              <w:jc w:val="right"/>
              <w:ind w:right="157"/>
              <w:spacing w:after="0" w:line="139"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US$(000)</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US$(000)</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US$(000)</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US$(000)</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US$(000)</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Cost -</w:t>
            </w:r>
          </w:p>
        </w:tc>
        <w:tc>
          <w:tcPr>
            <w:tcW w:w="10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January 1</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94,952</w:t>
            </w:r>
          </w:p>
        </w:tc>
        <w:tc>
          <w:tcPr>
            <w:tcW w:w="1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13,159</w:t>
            </w: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158,903</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30,064</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297,078</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224,062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Additions</w:t>
            </w: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20,000</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18,107</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30,237</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68,344</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52,675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color w:val="auto"/>
              </w:rPr>
              <w:t>Acquisition of Edyficar, note 2(b)</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22,684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Transfers</w:t>
            </w: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27,971</w:t>
            </w:r>
          </w:p>
        </w:tc>
        <w:tc>
          <w:tcPr>
            <w:tcW w:w="8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(27,971)</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color w:val="auto"/>
              </w:rPr>
              <w:t>Disposals and other</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(2,207)</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(2,207)</w:t>
            </w: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94,952</w:t>
            </w:r>
          </w:p>
        </w:tc>
        <w:tc>
          <w:tcPr>
            <w:tcW w:w="18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20,000</w:t>
            </w:r>
          </w:p>
        </w:tc>
        <w:tc>
          <w:tcPr>
            <w:tcW w:w="16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13,159</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202,774</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32,330</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363,215</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297,078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580" w:type="dxa"/>
            <w:vAlign w:val="bottom"/>
            <w:tcBorders>
              <w:top w:val="single" w:sz="8" w:color="CCFFCC"/>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Accumulated amortization -</w:t>
            </w:r>
          </w:p>
        </w:tc>
        <w:tc>
          <w:tcPr>
            <w:tcW w:w="10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January 1</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13,959</w:t>
            </w:r>
          </w:p>
        </w:tc>
        <w:tc>
          <w:tcPr>
            <w:tcW w:w="1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105</w:t>
            </w: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73,586</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8,911</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96,561</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67,719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Amortization of the year</w:t>
            </w: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5,136</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710</w:t>
            </w:r>
          </w:p>
        </w:tc>
        <w:tc>
          <w:tcPr>
            <w:tcW w:w="980" w:type="dxa"/>
            <w:vAlign w:val="bottom"/>
            <w:gridSpan w:val="3"/>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30,427</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1,164</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37,437</w:t>
            </w:r>
          </w:p>
        </w:tc>
        <w:tc>
          <w:tcPr>
            <w:tcW w:w="7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29,227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color w:val="auto"/>
              </w:rPr>
              <w:t>Acquisition of Edyficar, note 2(b)</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Disposals and other</w:t>
            </w:r>
          </w:p>
        </w:tc>
        <w:tc>
          <w:tcPr>
            <w:tcW w:w="10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(1,974)</w:t>
            </w:r>
          </w:p>
        </w:tc>
        <w:tc>
          <w:tcPr>
            <w:tcW w:w="86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(1,974)</w:t>
            </w:r>
          </w:p>
        </w:tc>
        <w:tc>
          <w:tcPr>
            <w:tcW w:w="7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as of December 31</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19,095</w:t>
            </w:r>
          </w:p>
        </w:tc>
        <w:tc>
          <w:tcPr>
            <w:tcW w:w="180" w:type="dxa"/>
            <w:vAlign w:val="bottom"/>
          </w:tcPr>
          <w:p>
            <w:pPr>
              <w:spacing w:after="0"/>
              <w:rPr>
                <w:sz w:val="12"/>
                <w:szCs w:val="12"/>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102,039</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10,075</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132,024</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96,561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CFFCC"/>
          </w:tcPr>
          <w:p>
            <w:pPr>
              <w:spacing w:after="0"/>
              <w:rPr>
                <w:sz w:val="11"/>
                <w:szCs w:val="11"/>
                <w:color w:val="auto"/>
              </w:rPr>
            </w:pPr>
          </w:p>
        </w:tc>
        <w:tc>
          <w:tcPr>
            <w:tcW w:w="104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Net book value</w:t>
            </w:r>
          </w:p>
        </w:tc>
        <w:tc>
          <w:tcPr>
            <w:tcW w:w="1040" w:type="dxa"/>
            <w:vAlign w:val="bottom"/>
          </w:tcPr>
          <w:p>
            <w:pPr>
              <w:jc w:val="right"/>
              <w:spacing w:after="0"/>
              <w:rPr>
                <w:sz w:val="20"/>
                <w:szCs w:val="20"/>
                <w:color w:val="auto"/>
              </w:rPr>
            </w:pPr>
            <w:r>
              <w:rPr>
                <w:rFonts w:ascii="Arial" w:cs="Arial" w:eastAsia="Arial" w:hAnsi="Arial"/>
                <w:sz w:val="13"/>
                <w:szCs w:val="13"/>
                <w:color w:val="auto"/>
              </w:rPr>
              <w:t>75,857</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20,000</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12,344</w:t>
            </w:r>
          </w:p>
        </w:tc>
        <w:tc>
          <w:tcPr>
            <w:tcW w:w="980" w:type="dxa"/>
            <w:vAlign w:val="bottom"/>
            <w:gridSpan w:val="3"/>
          </w:tcPr>
          <w:p>
            <w:pPr>
              <w:jc w:val="right"/>
              <w:ind w:right="180"/>
              <w:spacing w:after="0"/>
              <w:rPr>
                <w:sz w:val="20"/>
                <w:szCs w:val="20"/>
                <w:color w:val="auto"/>
              </w:rPr>
            </w:pPr>
            <w:r>
              <w:rPr>
                <w:rFonts w:ascii="Arial" w:cs="Arial" w:eastAsia="Arial" w:hAnsi="Arial"/>
                <w:sz w:val="13"/>
                <w:szCs w:val="13"/>
                <w:color w:val="auto"/>
              </w:rPr>
              <w:t>100,735</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22,255</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231,191</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200,517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During the years ended December 31, 2010 and 2009, Credicorp capitalized disbursements related to the implementation and development of sundry computer systems in BCP (mainly SAP-ERP).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3"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18"/>
                <w:szCs w:val="18"/>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Goodwill -</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720" w:type="dxa"/>
            <w:vAlign w:val="bottom"/>
            <w:gridSpan w:val="2"/>
          </w:tcPr>
          <w:p>
            <w:pPr>
              <w:ind w:left="200"/>
              <w:spacing w:after="0"/>
              <w:rPr>
                <w:sz w:val="20"/>
                <w:szCs w:val="20"/>
                <w:color w:val="auto"/>
              </w:rPr>
            </w:pPr>
            <w:r>
              <w:rPr>
                <w:rFonts w:ascii="Arial" w:cs="Arial" w:eastAsia="Arial" w:hAnsi="Arial"/>
                <w:sz w:val="18"/>
                <w:szCs w:val="18"/>
                <w:color w:val="auto"/>
              </w:rPr>
              <w:t>This item is made up as follows: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Edyficar, note 2 (b)</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50,696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Prima AFP</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44,594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44,594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18,733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13,007</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10,660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Corporación Novasalud Perú S.A. EPS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3,744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652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141,434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141,434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2010 and 2009, Management concluded that there is no impairment in the recorded goodwill.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7300" w:type="dxa"/>
            <w:vAlign w:val="bottom"/>
            <w:gridSpan w:val="3"/>
          </w:tcPr>
          <w:p>
            <w:pPr>
              <w:ind w:left="140"/>
              <w:spacing w:after="0"/>
              <w:rPr>
                <w:sz w:val="20"/>
                <w:szCs w:val="20"/>
                <w:color w:val="auto"/>
              </w:rPr>
            </w:pPr>
            <w:r>
              <w:rPr>
                <w:rFonts w:ascii="Arial" w:cs="Arial" w:eastAsia="Arial" w:hAnsi="Arial"/>
                <w:sz w:val="18"/>
                <w:szCs w:val="18"/>
                <w:b w:val="1"/>
                <w:bCs w:val="1"/>
                <w:color w:val="auto"/>
              </w:rPr>
              <w:t>Other assets and other liabilities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These items are made up as follows: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183,295</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Accounts receivable</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106,134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61,086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Derivatives receivable (b)</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84,945</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97,341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Income tax prepayments, net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23,982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59,175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17,300</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35,597</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52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415,656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405,747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income tax asset, note 17(c)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109,373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84,070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90,484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66,213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fees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43,318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30,130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Investments in associates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10,701</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21,677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275,553</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207,319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52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691,209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613,066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83" w:right="47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223,822</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Payroll, taxes, salaries and other personnel expenses</w:t>
            </w:r>
          </w:p>
        </w:tc>
        <w:tc>
          <w:tcPr>
            <w:tcW w:w="820" w:type="dxa"/>
            <w:vAlign w:val="bottom"/>
          </w:tcPr>
          <w:p>
            <w:pPr>
              <w:jc w:val="right"/>
              <w:spacing w:after="0"/>
              <w:rPr>
                <w:sz w:val="20"/>
                <w:szCs w:val="20"/>
                <w:color w:val="auto"/>
              </w:rPr>
            </w:pPr>
            <w:r>
              <w:rPr>
                <w:rFonts w:ascii="Arial" w:cs="Arial" w:eastAsia="Arial" w:hAnsi="Arial"/>
                <w:sz w:val="18"/>
                <w:szCs w:val="18"/>
                <w:color w:val="auto"/>
              </w:rPr>
              <w:t>196,290</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Derivatives payable (b)</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136,670</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Allowance for indirect loan losses, note 6(d)</w:t>
            </w:r>
          </w:p>
        </w:tc>
        <w:tc>
          <w:tcPr>
            <w:tcW w:w="820" w:type="dxa"/>
            <w:vAlign w:val="bottom"/>
          </w:tcPr>
          <w:p>
            <w:pPr>
              <w:jc w:val="right"/>
              <w:spacing w:after="0"/>
              <w:rPr>
                <w:sz w:val="20"/>
                <w:szCs w:val="20"/>
                <w:color w:val="auto"/>
              </w:rPr>
            </w:pPr>
            <w:r>
              <w:rPr>
                <w:rFonts w:ascii="Arial" w:cs="Arial" w:eastAsia="Arial" w:hAnsi="Arial"/>
                <w:sz w:val="18"/>
                <w:szCs w:val="18"/>
                <w:color w:val="auto"/>
              </w:rPr>
              <w:t>32,894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25,771</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Contributions</w:t>
            </w:r>
          </w:p>
        </w:tc>
        <w:tc>
          <w:tcPr>
            <w:tcW w:w="820" w:type="dxa"/>
            <w:vAlign w:val="bottom"/>
          </w:tcPr>
          <w:p>
            <w:pPr>
              <w:jc w:val="right"/>
              <w:spacing w:after="0"/>
              <w:rPr>
                <w:sz w:val="20"/>
                <w:szCs w:val="20"/>
                <w:color w:val="auto"/>
              </w:rPr>
            </w:pPr>
            <w:r>
              <w:rPr>
                <w:rFonts w:ascii="Arial" w:cs="Arial" w:eastAsia="Arial" w:hAnsi="Arial"/>
                <w:sz w:val="18"/>
                <w:szCs w:val="18"/>
                <w:color w:val="auto"/>
              </w:rPr>
              <w:t>20,136</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635,583</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income tax liability, note 17(c)</w:t>
            </w:r>
          </w:p>
        </w:tc>
        <w:tc>
          <w:tcPr>
            <w:tcW w:w="820" w:type="dxa"/>
            <w:vAlign w:val="bottom"/>
          </w:tcPr>
          <w:p>
            <w:pPr>
              <w:jc w:val="right"/>
              <w:spacing w:after="0"/>
              <w:rPr>
                <w:sz w:val="20"/>
                <w:szCs w:val="20"/>
                <w:color w:val="auto"/>
              </w:rPr>
            </w:pPr>
            <w:r>
              <w:rPr>
                <w:rFonts w:ascii="Arial" w:cs="Arial" w:eastAsia="Arial" w:hAnsi="Arial"/>
                <w:sz w:val="18"/>
                <w:szCs w:val="18"/>
                <w:color w:val="auto"/>
              </w:rPr>
              <w:t>165,236</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19,425</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Pr>
          <w:p>
            <w:pPr>
              <w:jc w:val="right"/>
              <w:spacing w:after="0"/>
              <w:rPr>
                <w:sz w:val="20"/>
                <w:szCs w:val="20"/>
                <w:color w:val="auto"/>
              </w:rPr>
            </w:pPr>
            <w:r>
              <w:rPr>
                <w:rFonts w:ascii="Arial" w:cs="Arial" w:eastAsia="Arial" w:hAnsi="Arial"/>
                <w:sz w:val="18"/>
                <w:szCs w:val="18"/>
                <w:color w:val="auto"/>
              </w:rPr>
              <w:t>20,994</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205,655</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129,434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841,238</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711,548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652"/>
        <w:spacing w:after="0" w:line="277" w:lineRule="auto"/>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risk in derivative contracts arises from the possibility of the counterparty failing to comply with the terms and conditions agreed and that the reference rates at which the transactions took place changes.</w:t>
      </w:r>
    </w:p>
    <w:p>
      <w:pPr>
        <w:spacing w:after="0" w:line="170" w:lineRule="exact"/>
        <w:rPr>
          <w:rFonts w:ascii="Arial" w:cs="Arial" w:eastAsia="Arial" w:hAnsi="Arial"/>
          <w:sz w:val="18"/>
          <w:szCs w:val="18"/>
          <w:color w:val="auto"/>
        </w:rPr>
      </w:pPr>
    </w:p>
    <w:p>
      <w:pPr>
        <w:ind w:left="1140" w:right="200"/>
        <w:spacing w:after="0" w:line="264" w:lineRule="auto"/>
        <w:rPr>
          <w:rFonts w:ascii="Arial" w:cs="Arial" w:eastAsia="Arial" w:hAnsi="Arial"/>
          <w:sz w:val="18"/>
          <w:szCs w:val="18"/>
          <w:color w:val="auto"/>
        </w:rPr>
      </w:pPr>
      <w:r>
        <w:rPr>
          <w:rFonts w:ascii="Arial" w:cs="Arial" w:eastAsia="Arial" w:hAnsi="Arial"/>
          <w:sz w:val="18"/>
          <w:szCs w:val="18"/>
          <w:color w:val="auto"/>
        </w:rPr>
        <w:t>The table below presents the fair value of derivative financial instruments, recorded as an asset or a liability, together with their notional amounts. The notional amount, recorded gross, is the amount of a derivative’s underlying asset and is the basis upon which changes in the value of derivatives are measured, see note 19(a).</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3"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Note</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880" w:type="dxa"/>
            <w:vAlign w:val="bottom"/>
            <w:gridSpan w:val="2"/>
          </w:tcPr>
          <w:p>
            <w:pPr>
              <w:jc w:val="center"/>
              <w:ind w:right="80"/>
              <w:spacing w:after="0" w:line="126" w:lineRule="exact"/>
              <w:rPr>
                <w:sz w:val="20"/>
                <w:szCs w:val="20"/>
                <w:color w:val="auto"/>
              </w:rPr>
            </w:pPr>
            <w:r>
              <w:rPr>
                <w:rFonts w:ascii="Arial" w:cs="Arial" w:eastAsia="Arial" w:hAnsi="Arial"/>
                <w:sz w:val="14"/>
                <w:szCs w:val="14"/>
                <w:b w:val="1"/>
                <w:bCs w:val="1"/>
                <w:color w:val="auto"/>
                <w:w w:val="92"/>
              </w:rPr>
              <w:t>Notional</w:t>
            </w:r>
          </w:p>
        </w:tc>
        <w:tc>
          <w:tcPr>
            <w:tcW w:w="23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instrument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amount</w:t>
            </w: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US$(000)</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US$(000)</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for trading (i) -</w:t>
            </w:r>
          </w:p>
        </w:tc>
        <w:tc>
          <w:tcPr>
            <w:tcW w:w="9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3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Forward exchange contracts</w:t>
            </w:r>
          </w:p>
        </w:tc>
        <w:tc>
          <w:tcPr>
            <w:tcW w:w="9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17,400</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10,640</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2,628,195</w:t>
            </w:r>
          </w:p>
        </w:tc>
        <w:tc>
          <w:tcPr>
            <w:tcW w:w="2380" w:type="dxa"/>
            <w:vAlign w:val="bottom"/>
            <w:gridSpan w:val="2"/>
          </w:tcPr>
          <w:p>
            <w:pPr>
              <w:ind w:left="2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9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29,807</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32,307</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699,800</w:t>
            </w:r>
          </w:p>
        </w:tc>
        <w:tc>
          <w:tcPr>
            <w:tcW w:w="2380" w:type="dxa"/>
            <w:vAlign w:val="bottom"/>
            <w:gridSpan w:val="2"/>
            <w:shd w:val="clear" w:color="auto" w:fill="CCFFCC"/>
          </w:tcPr>
          <w:p>
            <w:pPr>
              <w:ind w:left="2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Currency swaps</w:t>
            </w:r>
          </w:p>
        </w:tc>
        <w:tc>
          <w:tcPr>
            <w:tcW w:w="9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17,334</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12,532</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463,104</w:t>
            </w:r>
          </w:p>
        </w:tc>
        <w:tc>
          <w:tcPr>
            <w:tcW w:w="2380" w:type="dxa"/>
            <w:vAlign w:val="bottom"/>
            <w:gridSpan w:val="2"/>
          </w:tcPr>
          <w:p>
            <w:pPr>
              <w:ind w:left="2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Options</w:t>
            </w:r>
          </w:p>
        </w:tc>
        <w:tc>
          <w:tcPr>
            <w:tcW w:w="9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549</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309</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103,616</w:t>
            </w:r>
          </w:p>
        </w:tc>
        <w:tc>
          <w:tcPr>
            <w:tcW w:w="2380" w:type="dxa"/>
            <w:vAlign w:val="bottom"/>
            <w:gridSpan w:val="2"/>
            <w:shd w:val="clear" w:color="auto" w:fill="CCFFCC"/>
          </w:tcPr>
          <w:p>
            <w:pPr>
              <w:ind w:left="2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as hedges -</w:t>
            </w:r>
          </w:p>
        </w:tc>
        <w:tc>
          <w:tcPr>
            <w:tcW w:w="9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3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hedge (ii):</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9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13(a)(i)(*)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2,159</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136,667</w:t>
            </w:r>
          </w:p>
        </w:tc>
        <w:tc>
          <w:tcPr>
            <w:tcW w:w="23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940" w:type="dxa"/>
            <w:vAlign w:val="bottom"/>
          </w:tcPr>
          <w:p>
            <w:pPr>
              <w:ind w:left="140"/>
              <w:spacing w:after="0" w:line="149" w:lineRule="exact"/>
              <w:rPr>
                <w:sz w:val="20"/>
                <w:szCs w:val="20"/>
                <w:color w:val="auto"/>
              </w:rPr>
            </w:pPr>
            <w:r>
              <w:rPr>
                <w:rFonts w:ascii="Arial" w:cs="Arial" w:eastAsia="Arial" w:hAnsi="Arial"/>
                <w:sz w:val="14"/>
                <w:szCs w:val="14"/>
                <w:color w:val="auto"/>
              </w:rPr>
              <w:t>15(a)(vii)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70,495</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863,005</w:t>
            </w:r>
          </w:p>
        </w:tc>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Secured notes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9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15(a)(i)(*)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11,842</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123,862</w:t>
            </w:r>
          </w:p>
        </w:tc>
        <w:tc>
          <w:tcPr>
            <w:tcW w:w="23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940" w:type="dxa"/>
            <w:vAlign w:val="bottom"/>
          </w:tcPr>
          <w:p>
            <w:pPr>
              <w:ind w:left="140"/>
              <w:spacing w:after="0" w:line="149" w:lineRule="exact"/>
              <w:rPr>
                <w:sz w:val="20"/>
                <w:szCs w:val="20"/>
                <w:color w:val="auto"/>
              </w:rPr>
            </w:pPr>
            <w:r>
              <w:rPr>
                <w:rFonts w:ascii="Arial" w:cs="Arial" w:eastAsia="Arial" w:hAnsi="Arial"/>
                <w:sz w:val="14"/>
                <w:szCs w:val="14"/>
                <w:color w:val="auto"/>
              </w:rPr>
              <w:t>15(a)(i)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396</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15,687</w:t>
            </w:r>
          </w:p>
        </w:tc>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4"/>
              </w:rPr>
              <w:t>Cross currency swaps and interest rate swaps</w:t>
            </w:r>
          </w:p>
        </w:tc>
        <w:tc>
          <w:tcPr>
            <w:tcW w:w="94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15(a)(i)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7,617</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5,029</w:t>
            </w:r>
          </w:p>
        </w:tc>
        <w:tc>
          <w:tcPr>
            <w:tcW w:w="8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113,362</w:t>
            </w:r>
          </w:p>
        </w:tc>
        <w:tc>
          <w:tcPr>
            <w:tcW w:w="23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Fair value hedge:</w:t>
            </w:r>
          </w:p>
        </w:tc>
        <w:tc>
          <w:tcPr>
            <w:tcW w:w="9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3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940" w:type="dxa"/>
            <w:vAlign w:val="bottom"/>
          </w:tcPr>
          <w:p>
            <w:pPr>
              <w:ind w:left="140"/>
              <w:spacing w:after="0" w:line="149" w:lineRule="exact"/>
              <w:rPr>
                <w:sz w:val="20"/>
                <w:szCs w:val="20"/>
                <w:color w:val="auto"/>
              </w:rPr>
            </w:pPr>
            <w:r>
              <w:rPr>
                <w:rFonts w:ascii="Arial" w:cs="Arial" w:eastAsia="Arial" w:hAnsi="Arial"/>
                <w:sz w:val="14"/>
                <w:szCs w:val="14"/>
                <w:color w:val="auto"/>
              </w:rPr>
              <w:t>5(m)</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3,149</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54,560</w:t>
            </w:r>
          </w:p>
        </w:tc>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Investments available-for-sale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3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84,945</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136,670</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5,201,858</w:t>
            </w: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Liabilities</w:t>
            </w:r>
          </w:p>
        </w:tc>
        <w:tc>
          <w:tcPr>
            <w:tcW w:w="860" w:type="dxa"/>
            <w:vAlign w:val="bottom"/>
            <w:gridSpan w:val="2"/>
          </w:tcPr>
          <w:p>
            <w:pPr>
              <w:jc w:val="center"/>
              <w:ind w:right="60"/>
              <w:spacing w:after="0" w:line="126" w:lineRule="exact"/>
              <w:rPr>
                <w:sz w:val="20"/>
                <w:szCs w:val="20"/>
                <w:color w:val="auto"/>
              </w:rPr>
            </w:pPr>
            <w:r>
              <w:rPr>
                <w:rFonts w:ascii="Arial" w:cs="Arial" w:eastAsia="Arial" w:hAnsi="Arial"/>
                <w:sz w:val="14"/>
                <w:szCs w:val="14"/>
                <w:b w:val="1"/>
                <w:bCs w:val="1"/>
                <w:color w:val="auto"/>
                <w:w w:val="92"/>
              </w:rPr>
              <w:t>Notional</w:t>
            </w:r>
          </w:p>
        </w:tc>
        <w:tc>
          <w:tcPr>
            <w:tcW w:w="2140" w:type="dxa"/>
            <w:vAlign w:val="bottom"/>
          </w:tcPr>
          <w:p>
            <w:pPr>
              <w:ind w:left="880"/>
              <w:spacing w:after="0" w:line="126" w:lineRule="exact"/>
              <w:rPr>
                <w:sz w:val="20"/>
                <w:szCs w:val="20"/>
                <w:color w:val="auto"/>
              </w:rPr>
            </w:pPr>
            <w:r>
              <w:rPr>
                <w:rFonts w:ascii="Arial" w:cs="Arial" w:eastAsia="Arial" w:hAnsi="Arial"/>
                <w:sz w:val="14"/>
                <w:szCs w:val="14"/>
                <w:b w:val="1"/>
                <w:bCs w:val="1"/>
                <w:color w:val="auto"/>
              </w:rPr>
              <w:t>Hedged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6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4"/>
              </w:rPr>
              <w:t>amount</w:t>
            </w:r>
          </w:p>
        </w:tc>
        <w:tc>
          <w:tcPr>
            <w:tcW w:w="2220" w:type="dxa"/>
            <w:vAlign w:val="bottom"/>
            <w:gridSpan w:val="2"/>
          </w:tcPr>
          <w:p>
            <w:pPr>
              <w:ind w:left="780"/>
              <w:spacing w:after="0" w:line="153" w:lineRule="exact"/>
              <w:rPr>
                <w:sz w:val="20"/>
                <w:szCs w:val="20"/>
                <w:color w:val="auto"/>
              </w:rPr>
            </w:pPr>
            <w:r>
              <w:rPr>
                <w:rFonts w:ascii="Arial" w:cs="Arial" w:eastAsia="Arial" w:hAnsi="Arial"/>
                <w:sz w:val="14"/>
                <w:szCs w:val="14"/>
                <w:b w:val="1"/>
                <w:bCs w:val="1"/>
                <w:color w:val="auto"/>
              </w:rPr>
              <w:t>instrument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US$(000)</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US$(000)</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US$(000)</w:t>
            </w: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for trading (i) -</w:t>
            </w:r>
          </w:p>
        </w:tc>
        <w:tc>
          <w:tcPr>
            <w:tcW w:w="10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Forward exchange contracts</w:t>
            </w:r>
          </w:p>
        </w:tc>
        <w:tc>
          <w:tcPr>
            <w:tcW w:w="10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39,611</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19,138</w:t>
            </w:r>
          </w:p>
        </w:tc>
        <w:tc>
          <w:tcPr>
            <w:tcW w:w="78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89"/>
              </w:rPr>
              <w:t>2,614,381</w:t>
            </w:r>
          </w:p>
        </w:tc>
        <w:tc>
          <w:tcPr>
            <w:tcW w:w="80" w:type="dxa"/>
            <w:vAlign w:val="bottom"/>
          </w:tcPr>
          <w:p>
            <w:pPr>
              <w:spacing w:after="0"/>
              <w:rPr>
                <w:sz w:val="12"/>
                <w:szCs w:val="12"/>
                <w:color w:val="auto"/>
              </w:rPr>
            </w:pPr>
          </w:p>
        </w:tc>
        <w:tc>
          <w:tcPr>
            <w:tcW w:w="2220" w:type="dxa"/>
            <w:vAlign w:val="bottom"/>
            <w:gridSpan w:val="2"/>
          </w:tcPr>
          <w:p>
            <w:pPr>
              <w:ind w:left="2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0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29,023</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31,695</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618,006</w:t>
            </w:r>
          </w:p>
        </w:tc>
        <w:tc>
          <w:tcPr>
            <w:tcW w:w="2220" w:type="dxa"/>
            <w:vAlign w:val="bottom"/>
            <w:gridSpan w:val="2"/>
            <w:shd w:val="clear" w:color="auto" w:fill="CCFFCC"/>
          </w:tcPr>
          <w:p>
            <w:pPr>
              <w:ind w:left="2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Currency swaps</w:t>
            </w:r>
          </w:p>
        </w:tc>
        <w:tc>
          <w:tcPr>
            <w:tcW w:w="10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14,245</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12,025</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435,518</w:t>
            </w:r>
          </w:p>
        </w:tc>
        <w:tc>
          <w:tcPr>
            <w:tcW w:w="2220" w:type="dxa"/>
            <w:vAlign w:val="bottom"/>
            <w:gridSpan w:val="2"/>
          </w:tcPr>
          <w:p>
            <w:pPr>
              <w:ind w:left="2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Options</w:t>
            </w:r>
          </w:p>
        </w:tc>
        <w:tc>
          <w:tcPr>
            <w:tcW w:w="10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161</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24,374</w:t>
            </w:r>
          </w:p>
        </w:tc>
        <w:tc>
          <w:tcPr>
            <w:tcW w:w="2220" w:type="dxa"/>
            <w:vAlign w:val="bottom"/>
            <w:gridSpan w:val="2"/>
            <w:shd w:val="clear" w:color="auto" w:fill="CCFFCC"/>
          </w:tcPr>
          <w:p>
            <w:pPr>
              <w:ind w:left="2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as hedges -</w:t>
            </w:r>
          </w:p>
        </w:tc>
        <w:tc>
          <w:tcPr>
            <w:tcW w:w="10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hedge (ii):</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Forward exchange contracts</w:t>
            </w:r>
          </w:p>
        </w:tc>
        <w:tc>
          <w:tcPr>
            <w:tcW w:w="104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5(m)</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13,532</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71,180</w:t>
            </w:r>
          </w:p>
        </w:tc>
        <w:tc>
          <w:tcPr>
            <w:tcW w:w="22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Investments available for-sale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13(a)(i)(*)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11,395</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410,000</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04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15(a)(vii)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1,706</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65,243</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965,198</w:t>
            </w:r>
          </w:p>
        </w:tc>
        <w:tc>
          <w:tcPr>
            <w:tcW w:w="22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Secured notes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15(a)(i)(*)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1,737</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111,508</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104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15(a)(i)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15,687</w:t>
            </w:r>
          </w:p>
        </w:tc>
        <w:tc>
          <w:tcPr>
            <w:tcW w:w="22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w w:val="97"/>
              </w:rPr>
              <w:t>Cross currency swaps and interest rate swaps</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15(a)(i)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7,761</w:t>
            </w:r>
          </w:p>
        </w:tc>
        <w:tc>
          <w:tcPr>
            <w:tcW w:w="1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2,855</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113,362</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b w:val="1"/>
                <w:bCs w:val="1"/>
                <w:color w:val="auto"/>
              </w:rPr>
              <w:t>Fair value hedge:</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104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5(e)</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2,464</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11,646</w:t>
            </w:r>
          </w:p>
        </w:tc>
        <w:tc>
          <w:tcPr>
            <w:tcW w:w="8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318,325</w:t>
            </w:r>
          </w:p>
        </w:tc>
        <w:tc>
          <w:tcPr>
            <w:tcW w:w="22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Investments available-for-sale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5(m)</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572</w:t>
            </w:r>
          </w:p>
        </w:tc>
        <w:tc>
          <w:tcPr>
            <w:tcW w:w="180" w:type="dxa"/>
            <w:vAlign w:val="bottom"/>
          </w:tcPr>
          <w:p>
            <w:pPr>
              <w:spacing w:after="0"/>
              <w:rPr>
                <w:sz w:val="13"/>
                <w:szCs w:val="13"/>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55,047</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Investments available-for-sale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97,341</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167,849</w:t>
            </w:r>
          </w:p>
        </w:tc>
        <w:tc>
          <w:tcPr>
            <w:tcW w:w="780" w:type="dxa"/>
            <w:vAlign w:val="bottom"/>
          </w:tcPr>
          <w:p>
            <w:pPr>
              <w:jc w:val="center"/>
              <w:ind w:left="148"/>
              <w:spacing w:after="0"/>
              <w:rPr>
                <w:sz w:val="20"/>
                <w:szCs w:val="20"/>
                <w:color w:val="auto"/>
              </w:rPr>
            </w:pPr>
            <w:r>
              <w:rPr>
                <w:rFonts w:ascii="Arial" w:cs="Arial" w:eastAsia="Arial" w:hAnsi="Arial"/>
                <w:sz w:val="14"/>
                <w:szCs w:val="14"/>
                <w:color w:val="auto"/>
                <w:w w:val="89"/>
              </w:rPr>
              <w:t>5,752,586</w:t>
            </w: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hanging="478"/>
        <w:spacing w:after="0" w:line="264" w:lineRule="auto"/>
        <w:tabs>
          <w:tab w:leader="none" w:pos="16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Derivatives held for trading are principally negotiated to satisfy client’s needs. The Group may also take positions with the expectation of profiting from favorable movements in prices, rates or indexes. Also, this caption includes any derivatives which does not comply IAS 39 hedging accounting requirements.</w:t>
      </w:r>
    </w:p>
    <w:p>
      <w:pPr>
        <w:spacing w:after="0" w:line="181" w:lineRule="exact"/>
        <w:rPr>
          <w:rFonts w:ascii="Arial" w:cs="Arial" w:eastAsia="Arial" w:hAnsi="Arial"/>
          <w:sz w:val="18"/>
          <w:szCs w:val="18"/>
          <w:color w:val="auto"/>
        </w:rPr>
      </w:pPr>
    </w:p>
    <w:p>
      <w:pPr>
        <w:ind w:left="1620" w:right="220"/>
        <w:spacing w:after="0" w:line="258" w:lineRule="auto"/>
        <w:rPr>
          <w:rFonts w:ascii="Arial" w:cs="Arial" w:eastAsia="Arial" w:hAnsi="Arial"/>
          <w:sz w:val="18"/>
          <w:szCs w:val="18"/>
          <w:color w:val="auto"/>
        </w:rPr>
      </w:pPr>
      <w:r>
        <w:rPr>
          <w:rFonts w:ascii="Arial" w:cs="Arial" w:eastAsia="Arial" w:hAnsi="Arial"/>
          <w:sz w:val="18"/>
          <w:szCs w:val="18"/>
          <w:color w:val="auto"/>
        </w:rPr>
        <w:t>As of December 31, 2010, forward exchange contracts have maturities between January 2011 and December 2012 (between January 2010 and October 2011 as of December 31, 2009).</w:t>
      </w:r>
    </w:p>
    <w:p>
      <w:pPr>
        <w:spacing w:after="0" w:line="1" w:lineRule="exact"/>
        <w:rPr>
          <w:rFonts w:ascii="Arial" w:cs="Arial" w:eastAsia="Arial" w:hAnsi="Arial"/>
          <w:sz w:val="18"/>
          <w:szCs w:val="18"/>
          <w:color w:val="auto"/>
        </w:rPr>
      </w:pPr>
    </w:p>
    <w:p>
      <w:pPr>
        <w:ind w:left="162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2010, interest rate swaps and currency swaps have maturities up to August 2022 and September 2022, respectively (up to February 2019 and April 2019, as of December 31, 2009, respectively).</w:t>
      </w:r>
    </w:p>
    <w:p>
      <w:pPr>
        <w:spacing w:after="0" w:line="183" w:lineRule="exact"/>
        <w:rPr>
          <w:rFonts w:ascii="Arial" w:cs="Arial" w:eastAsia="Arial" w:hAnsi="Arial"/>
          <w:sz w:val="18"/>
          <w:szCs w:val="18"/>
          <w:color w:val="auto"/>
        </w:rPr>
      </w:pPr>
    </w:p>
    <w:p>
      <w:pPr>
        <w:ind w:left="1620" w:right="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2010, the options have maturities between January 2011 and May 2012 (between January 2010 and October 2010 as of December 31, 2009).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60" w:hanging="478"/>
        <w:spacing w:after="0" w:line="277" w:lineRule="auto"/>
        <w:tabs>
          <w:tab w:leader="none" w:pos="1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assets and liabilities in foreign currency and/or which bear interest variable rates. The Group uses derivatives financial instruments as cash flow hedges to cover these risks.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scheduled indicating, as of December 31, 2010, the periods when the cash flows hedges are expected to occur is presented below:</w:t>
      </w:r>
    </w:p>
    <w:p>
      <w:pPr>
        <w:spacing w:after="0" w:line="244" w:lineRule="exact"/>
        <w:rPr>
          <w:sz w:val="20"/>
          <w:szCs w:val="20"/>
          <w:color w:val="auto"/>
        </w:rPr>
      </w:pPr>
    </w:p>
    <w:tbl>
      <w:tblPr>
        <w:tblLayout w:type="fixed"/>
        <w:tblInd w:w="16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Up to 1 year</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From 1 to 3 years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From 3 to 5 years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6"/>
              </w:rPr>
              <w:t>Over 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Cash outflows (liabilities)</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(328,838)</w:t>
            </w: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(271,811)</w:t>
            </w:r>
          </w:p>
        </w:tc>
        <w:tc>
          <w:tcPr>
            <w:tcW w:w="15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(283,672)</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income statement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(24,751)</w:t>
            </w:r>
          </w:p>
        </w:tc>
        <w:tc>
          <w:tcPr>
            <w:tcW w:w="14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(30,545)</w:t>
            </w:r>
          </w:p>
        </w:tc>
        <w:tc>
          <w:tcPr>
            <w:tcW w:w="15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(12,218)</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2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Borders>
              <w:right w:val="single" w:sz="8" w:color="CCFFCC"/>
            </w:tcBorders>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line="257" w:lineRule="auto"/>
        <w:rPr>
          <w:sz w:val="20"/>
          <w:szCs w:val="20"/>
          <w:color w:val="auto"/>
        </w:rPr>
      </w:pPr>
      <w:r>
        <w:rPr>
          <w:rFonts w:ascii="Arial" w:cs="Arial" w:eastAsia="Arial" w:hAnsi="Arial"/>
          <w:sz w:val="18"/>
          <w:szCs w:val="18"/>
          <w:color w:val="auto"/>
        </w:rPr>
        <w:t>As of December 31, 2010, the accumulated balance of unrealized loss on cash flow hedges recorded as other comprehensive income in the cash flow hedge reserve, results from the current hedges (unrealized loss for approximately US$68.7 million) and the terminated hedge in 2009 (unrealized gain for approximately US$11.7 million) which is being recognized over the maturity of the underlying financial instrument, see note 15(a)(iv). Likewise, the transfer of net loss on cash flow hedges to the consolidated income statement is presented in note 16(c).</w:t>
      </w:r>
    </w:p>
    <w:p>
      <w:pPr>
        <w:spacing w:after="0" w:line="188" w:lineRule="exact"/>
        <w:rPr>
          <w:sz w:val="20"/>
          <w:szCs w:val="20"/>
          <w:color w:val="auto"/>
        </w:rPr>
      </w:pPr>
    </w:p>
    <w:p>
      <w:pPr>
        <w:ind w:left="1160" w:right="120" w:hanging="652"/>
        <w:spacing w:after="0" w:line="286" w:lineRule="auto"/>
        <w:tabs>
          <w:tab w:leader="none" w:pos="11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at the end of the month and not reclassified to their final consolidated statements of financial position account until the first days of the following month. These transactions do not affect the Group’s net consolidated income.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3" w:right="31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on December 31, 2010, 2009 and 2008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27,225</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47,512</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Provision (i), note 24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8,440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14,425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Decreases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(16,240)</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(34,712)</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FFC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19,425</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27,225</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hanging="478"/>
        <w:spacing w:after="0" w:line="259" w:lineRule="auto"/>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year 2008 provision include US$36.4 million related to the estimated liability arising from a fund managed by ASHC, which had invested with Bernard L. Madoff Investment Securities LLC (Madoff Securities) on behalf of its clients. The Group disbursed most part of this liability during 2009. In Management’s opinion, based in the information available up to date, it is not expected that any additional liability will be incurred.</w:t>
      </w:r>
    </w:p>
    <w:p>
      <w:pPr>
        <w:spacing w:after="0" w:line="187" w:lineRule="exact"/>
        <w:rPr>
          <w:sz w:val="20"/>
          <w:szCs w:val="20"/>
          <w:color w:val="auto"/>
        </w:rPr>
      </w:pPr>
    </w:p>
    <w:p>
      <w:pPr>
        <w:ind w:left="1140" w:right="6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records a provision when, in Management’s and its legal advisor’s opinion, they will result in an additional liability and such amount can be reliably estimated. Regarding legal claims against the Group which have not been provided for, in Management’s and its legal advisor’s opinion, they will not have a material effect on the Group’s consolidated financial statements.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12.</w:t>
            </w:r>
          </w:p>
        </w:tc>
        <w:tc>
          <w:tcPr>
            <w:tcW w:w="7140" w:type="dxa"/>
            <w:vAlign w:val="bottom"/>
            <w:gridSpan w:val="3"/>
          </w:tcPr>
          <w:p>
            <w:pPr>
              <w:ind w:left="140"/>
              <w:spacing w:after="0"/>
              <w:rPr>
                <w:sz w:val="20"/>
                <w:szCs w:val="20"/>
                <w:color w:val="auto"/>
              </w:rPr>
            </w:pPr>
            <w:r>
              <w:rPr>
                <w:rFonts w:ascii="Arial" w:cs="Arial" w:eastAsia="Arial" w:hAnsi="Arial"/>
                <w:sz w:val="18"/>
                <w:szCs w:val="18"/>
                <w:b w:val="1"/>
                <w:bCs w:val="1"/>
                <w:color w:val="auto"/>
              </w:rPr>
              <w:t>Deposits and obligations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Time deposits (c)</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6,464,769</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4,751,861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Demand deposits</w:t>
            </w:r>
          </w:p>
        </w:tc>
        <w:tc>
          <w:tcPr>
            <w:tcW w:w="900" w:type="dxa"/>
            <w:vAlign w:val="bottom"/>
          </w:tcPr>
          <w:p>
            <w:pPr>
              <w:jc w:val="right"/>
              <w:spacing w:after="0"/>
              <w:rPr>
                <w:sz w:val="20"/>
                <w:szCs w:val="20"/>
                <w:color w:val="auto"/>
              </w:rPr>
            </w:pPr>
            <w:r>
              <w:rPr>
                <w:rFonts w:ascii="Arial" w:cs="Arial" w:eastAsia="Arial" w:hAnsi="Arial"/>
                <w:sz w:val="18"/>
                <w:szCs w:val="18"/>
                <w:color w:val="auto"/>
              </w:rPr>
              <w:t>5,581,392</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4,521,746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4,244,750</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3,539,665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900" w:type="dxa"/>
            <w:vAlign w:val="bottom"/>
          </w:tcPr>
          <w:p>
            <w:pPr>
              <w:jc w:val="right"/>
              <w:spacing w:after="0"/>
              <w:rPr>
                <w:sz w:val="20"/>
                <w:szCs w:val="20"/>
                <w:color w:val="auto"/>
              </w:rPr>
            </w:pPr>
            <w:r>
              <w:rPr>
                <w:rFonts w:ascii="Arial" w:cs="Arial" w:eastAsia="Arial" w:hAnsi="Arial"/>
                <w:sz w:val="18"/>
                <w:szCs w:val="18"/>
                <w:color w:val="auto"/>
              </w:rPr>
              <w:t>1,313,122</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1,069,506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 note 5(h) and (n)</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Bank’s negotiable certificates</w:t>
            </w:r>
          </w:p>
        </w:tc>
        <w:tc>
          <w:tcPr>
            <w:tcW w:w="900" w:type="dxa"/>
            <w:vAlign w:val="bottom"/>
          </w:tcPr>
          <w:p>
            <w:pPr>
              <w:jc w:val="right"/>
              <w:spacing w:after="0"/>
              <w:rPr>
                <w:sz w:val="20"/>
                <w:szCs w:val="20"/>
                <w:color w:val="auto"/>
              </w:rPr>
            </w:pPr>
            <w:r>
              <w:rPr>
                <w:rFonts w:ascii="Arial" w:cs="Arial" w:eastAsia="Arial" w:hAnsi="Arial"/>
                <w:sz w:val="18"/>
                <w:szCs w:val="18"/>
                <w:color w:val="auto"/>
              </w:rPr>
              <w:t>163,681</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114,401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18,017,714</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14,032,179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payable</w:t>
            </w:r>
          </w:p>
        </w:tc>
        <w:tc>
          <w:tcPr>
            <w:tcW w:w="900" w:type="dxa"/>
            <w:vAlign w:val="bottom"/>
          </w:tcPr>
          <w:p>
            <w:pPr>
              <w:jc w:val="right"/>
              <w:spacing w:after="0"/>
              <w:rPr>
                <w:sz w:val="20"/>
                <w:szCs w:val="20"/>
                <w:color w:val="auto"/>
              </w:rPr>
            </w:pPr>
            <w:r>
              <w:rPr>
                <w:rFonts w:ascii="Arial" w:cs="Arial" w:eastAsia="Arial" w:hAnsi="Arial"/>
                <w:sz w:val="18"/>
                <w:szCs w:val="18"/>
                <w:color w:val="auto"/>
              </w:rPr>
              <w:t>50,404</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52,919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4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18,068,118</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14,085,098</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right="160"/>
        <w:spacing w:after="0" w:line="308" w:lineRule="auto"/>
        <w:rPr>
          <w:sz w:val="20"/>
          <w:szCs w:val="20"/>
          <w:color w:val="auto"/>
        </w:rPr>
      </w:pPr>
      <w:r>
        <w:rPr>
          <w:rFonts w:ascii="Arial" w:cs="Arial" w:eastAsia="Arial" w:hAnsi="Arial"/>
          <w:sz w:val="17"/>
          <w:szCs w:val="17"/>
          <w:color w:val="auto"/>
        </w:rPr>
        <w:t>The Group has established a policy to remunerate demand deposits and savings accounts according to an interest rate scale, based on their average balance; on the other hand balances that are lower than a specified amount deposits, do not bear interest.</w:t>
      </w:r>
    </w:p>
    <w:p>
      <w:pPr>
        <w:spacing w:after="0" w:line="147" w:lineRule="exact"/>
        <w:rPr>
          <w:sz w:val="20"/>
          <w:szCs w:val="20"/>
          <w:color w:val="auto"/>
        </w:rPr>
      </w:pPr>
    </w:p>
    <w:p>
      <w:pPr>
        <w:ind w:left="1140" w:right="420"/>
        <w:spacing w:after="0" w:line="277" w:lineRule="auto"/>
        <w:rPr>
          <w:sz w:val="20"/>
          <w:szCs w:val="20"/>
          <w:color w:val="auto"/>
        </w:rPr>
      </w:pPr>
      <w:r>
        <w:rPr>
          <w:rFonts w:ascii="Arial" w:cs="Arial" w:eastAsia="Arial" w:hAnsi="Arial"/>
          <w:sz w:val="18"/>
          <w:szCs w:val="18"/>
          <w:color w:val="auto"/>
        </w:rPr>
        <w:t>Interest rates are determined by the Group considering interest rates prevailing in the market in which each of the Group’s subsidiaries operates.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83" w:right="41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Non-interest bearing deposits and obligations</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In Peru</w:t>
            </w:r>
          </w:p>
        </w:tc>
        <w:tc>
          <w:tcPr>
            <w:tcW w:w="900" w:type="dxa"/>
            <w:vAlign w:val="bottom"/>
          </w:tcPr>
          <w:p>
            <w:pPr>
              <w:jc w:val="right"/>
              <w:spacing w:after="0"/>
              <w:rPr>
                <w:sz w:val="20"/>
                <w:szCs w:val="20"/>
                <w:color w:val="auto"/>
              </w:rPr>
            </w:pPr>
            <w:r>
              <w:rPr>
                <w:rFonts w:ascii="Arial" w:cs="Arial" w:eastAsia="Arial" w:hAnsi="Arial"/>
                <w:sz w:val="18"/>
                <w:szCs w:val="18"/>
                <w:color w:val="auto"/>
              </w:rPr>
              <w:t>3,745,788</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2,613,118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 other countries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614,782</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684,877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4,360,570</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3,297,995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bearing deposits and obligations</w:t>
            </w: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40"/>
              <w:spacing w:after="0"/>
              <w:rPr>
                <w:sz w:val="20"/>
                <w:szCs w:val="20"/>
                <w:color w:val="auto"/>
              </w:rPr>
            </w:pPr>
            <w:r>
              <w:rPr>
                <w:rFonts w:ascii="Arial" w:cs="Arial" w:eastAsia="Arial" w:hAnsi="Arial"/>
                <w:sz w:val="18"/>
                <w:szCs w:val="18"/>
                <w:color w:val="auto"/>
              </w:rPr>
              <w:t>In Peru</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12,386,046</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8,772,219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In other countries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1,271,098</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1,961,965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13,657,144</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10,734,184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18,017,714</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14,032,179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652"/>
        <w:spacing w:after="0"/>
        <w:tabs>
          <w:tab w:leader="none" w:pos="11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900" w:type="dxa"/>
            <w:vAlign w:val="bottom"/>
            <w:gridSpan w:val="4"/>
          </w:tcPr>
          <w:p>
            <w:pPr>
              <w:jc w:val="right"/>
              <w:ind w:right="140"/>
              <w:spacing w:after="0"/>
              <w:rPr>
                <w:sz w:val="20"/>
                <w:szCs w:val="20"/>
                <w:color w:val="auto"/>
              </w:rPr>
            </w:pPr>
            <w:r>
              <w:rPr>
                <w:rFonts w:ascii="Arial" w:cs="Arial" w:eastAsia="Arial" w:hAnsi="Arial"/>
                <w:sz w:val="18"/>
                <w:szCs w:val="18"/>
                <w:color w:val="auto"/>
              </w:rPr>
              <w:t>US$(000)   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5,239,027</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3,384,624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820" w:type="dxa"/>
            <w:vAlign w:val="bottom"/>
          </w:tcPr>
          <w:p>
            <w:pPr>
              <w:jc w:val="right"/>
              <w:spacing w:after="0"/>
              <w:rPr>
                <w:sz w:val="20"/>
                <w:szCs w:val="20"/>
                <w:color w:val="auto"/>
              </w:rPr>
            </w:pPr>
            <w:r>
              <w:rPr>
                <w:rFonts w:ascii="Arial" w:cs="Arial" w:eastAsia="Arial" w:hAnsi="Arial"/>
                <w:sz w:val="18"/>
                <w:szCs w:val="18"/>
                <w:color w:val="auto"/>
              </w:rPr>
              <w:t>939,104</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1,134,480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244,426</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to 5 years</w:t>
            </w:r>
          </w:p>
        </w:tc>
        <w:tc>
          <w:tcPr>
            <w:tcW w:w="820" w:type="dxa"/>
            <w:vAlign w:val="bottom"/>
          </w:tcPr>
          <w:p>
            <w:pPr>
              <w:jc w:val="right"/>
              <w:spacing w:after="0"/>
              <w:rPr>
                <w:sz w:val="20"/>
                <w:szCs w:val="20"/>
                <w:color w:val="auto"/>
              </w:rPr>
            </w:pPr>
            <w:r>
              <w:rPr>
                <w:rFonts w:ascii="Arial" w:cs="Arial" w:eastAsia="Arial" w:hAnsi="Arial"/>
                <w:sz w:val="18"/>
                <w:szCs w:val="18"/>
                <w:color w:val="auto"/>
              </w:rPr>
              <w:t>42,212</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6,464,769</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4,751,861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2010 and 2009, in Management’s opinion, the Group’s deposits and obligations are widely diversified with no significant concentrations.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00" w:type="dxa"/>
            <w:vAlign w:val="bottom"/>
            <w:gridSpan w:val="4"/>
          </w:tcPr>
          <w:p>
            <w:pPr>
              <w:spacing w:after="0"/>
              <w:rPr>
                <w:sz w:val="20"/>
                <w:szCs w:val="20"/>
                <w:color w:val="auto"/>
              </w:rPr>
            </w:pPr>
            <w:r>
              <w:rPr>
                <w:rFonts w:ascii="Arial" w:cs="Arial" w:eastAsia="Arial" w:hAnsi="Arial"/>
                <w:sz w:val="18"/>
                <w:szCs w:val="18"/>
                <w:b w:val="1"/>
                <w:bCs w:val="1"/>
                <w:color w:val="auto"/>
              </w:rPr>
              <w:t>13.   Due to banks and correspondents</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This item is made up as follows: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ind w:left="80"/>
              <w:spacing w:after="0"/>
              <w:rPr>
                <w:sz w:val="20"/>
                <w:szCs w:val="20"/>
                <w:color w:val="auto"/>
              </w:rPr>
            </w:pPr>
            <w:r>
              <w:rPr>
                <w:rFonts w:ascii="Arial" w:cs="Arial" w:eastAsia="Arial" w:hAnsi="Arial"/>
                <w:sz w:val="18"/>
                <w:szCs w:val="18"/>
                <w:color w:val="auto"/>
              </w:rPr>
              <w:t>US$(000)</w:t>
            </w:r>
          </w:p>
        </w:tc>
        <w:tc>
          <w:tcPr>
            <w:tcW w:w="14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20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1,957,166</w:t>
            </w:r>
          </w:p>
        </w:tc>
        <w:tc>
          <w:tcPr>
            <w:tcW w:w="10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1,051,739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Promotional credit lines (ii)</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145,984</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81,550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30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133,240</w:t>
            </w:r>
          </w:p>
        </w:tc>
        <w:tc>
          <w:tcPr>
            <w:tcW w:w="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29,031</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2,236,390</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1,162,320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20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8,056</w:t>
            </w:r>
          </w:p>
        </w:tc>
        <w:tc>
          <w:tcPr>
            <w:tcW w:w="10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5700" w:type="dxa"/>
            <w:vAlign w:val="bottom"/>
            <w:tcBorders>
              <w:top w:val="single" w:sz="8" w:color="CCFFCC"/>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2"/>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570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spacing w:after="0"/>
              <w:rPr>
                <w:sz w:val="22"/>
                <w:szCs w:val="22"/>
                <w:color w:val="auto"/>
              </w:rPr>
            </w:pPr>
          </w:p>
        </w:tc>
        <w:tc>
          <w:tcPr>
            <w:tcW w:w="88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2,244,446</w:t>
            </w:r>
          </w:p>
        </w:tc>
        <w:tc>
          <w:tcPr>
            <w:tcW w:w="2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1,167,438</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920" w:type="dxa"/>
            <w:vAlign w:val="bottom"/>
          </w:tcPr>
          <w:p>
            <w:pPr>
              <w:spacing w:after="0"/>
              <w:rPr>
                <w:sz w:val="24"/>
                <w:szCs w:val="24"/>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(i)</w:t>
            </w:r>
          </w:p>
        </w:tc>
        <w:tc>
          <w:tcPr>
            <w:tcW w:w="570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4"/>
                <w:szCs w:val="24"/>
                <w:color w:val="auto"/>
              </w:rPr>
            </w:pPr>
          </w:p>
        </w:tc>
        <w:tc>
          <w:tcPr>
            <w:tcW w:w="8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80" w:type="dxa"/>
            <w:vAlign w:val="bottom"/>
            <w:gridSpan w:val="9"/>
          </w:tcPr>
          <w:p>
            <w:pPr>
              <w:ind w:left="40"/>
              <w:spacing w:after="0"/>
              <w:rPr>
                <w:sz w:val="20"/>
                <w:szCs w:val="20"/>
                <w:color w:val="auto"/>
              </w:rPr>
            </w:pPr>
            <w:r>
              <w:rPr>
                <w:rFonts w:ascii="Arial" w:cs="Arial" w:eastAsia="Arial" w:hAnsi="Arial"/>
                <w:sz w:val="18"/>
                <w:szCs w:val="18"/>
                <w:color w:val="auto"/>
              </w:rPr>
              <w:t>US$(000)   US$(000)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loans (*)</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486,667</w:t>
            </w:r>
          </w:p>
        </w:tc>
        <w:tc>
          <w:tcPr>
            <w:tcW w:w="860" w:type="dxa"/>
            <w:vAlign w:val="bottom"/>
            <w:tcBorders>
              <w:right w:val="single" w:sz="8" w:color="CCFFCC"/>
            </w:tcBorders>
            <w:gridSpan w:val="4"/>
            <w:shd w:val="clear" w:color="auto" w:fill="CCFFCC"/>
          </w:tcPr>
          <w:p>
            <w:pPr>
              <w:jc w:val="right"/>
              <w:spacing w:after="0"/>
              <w:rPr>
                <w:sz w:val="20"/>
                <w:szCs w:val="20"/>
                <w:color w:val="auto"/>
              </w:rPr>
            </w:pPr>
            <w:r>
              <w:rPr>
                <w:rFonts w:ascii="Arial" w:cs="Arial" w:eastAsia="Arial" w:hAnsi="Arial"/>
                <w:sz w:val="18"/>
                <w:szCs w:val="18"/>
                <w:color w:val="auto"/>
              </w:rPr>
              <w:t>410,000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200,000</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202,941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Bank of America N.A.</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165,000</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4"/>
              </w:rPr>
              <w:t>45,000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Wells Fargo &amp; Co.</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140,000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60,000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Citibank N.A.</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4"/>
              </w:rPr>
              <w:t>71,552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Toronto Dominion Bank</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 Bank</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100,721</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4"/>
              </w:rPr>
              <w:t>51,030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Banco Latinoamericano de Comercio de Panamá</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JP Morgan Chase Bank</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Bank of New York</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Sumitomo Mitsui Banking Corp.</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Mercantil Commercebank</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64,000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39,000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Commerzbank</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63,000</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Deutsche Bank AG</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43,449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Atlantic Private Placement Pool SPC</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35,000</w:t>
            </w:r>
          </w:p>
        </w:tc>
        <w:tc>
          <w:tcPr>
            <w:tcW w:w="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109,329</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142,216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800" w:type="dxa"/>
            <w:vAlign w:val="bottom"/>
            <w:tcBorders>
              <w:top w:val="single" w:sz="8" w:color="auto"/>
            </w:tcBorders>
            <w:gridSpan w:val="2"/>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tcBorders>
              <w:top w:val="single" w:sz="8" w:color="auto"/>
              <w:right w:val="single" w:sz="8" w:color="CCFFCC"/>
            </w:tcBorders>
            <w:gridSpan w:val="4"/>
            <w:shd w:val="clear" w:color="auto" w:fill="CCFFCC"/>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1,957,166</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7"/>
              </w:rPr>
              <w:t>1,051,739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440" w:right="60" w:hanging="649"/>
        <w:spacing w:after="0" w:line="288" w:lineRule="auto"/>
        <w:tabs>
          <w:tab w:leader="none" w:pos="24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As of December 31, 2010, the balance includes a syndicated loan obtained from foreign entities for an amount of US$350.0 million, with maturity on October, 2013, with principal and interest payments every semester, considering a fix interest rate of 2.25 percent for the first semester and Libor 6m+1.75 percent for the following semesters. Also, as of December 31,</w:t>
      </w:r>
    </w:p>
    <w:p>
      <w:pPr>
        <w:ind w:left="2440"/>
        <w:spacing w:after="0" w:line="253" w:lineRule="auto"/>
        <w:rPr>
          <w:rFonts w:ascii="Arial" w:cs="Arial" w:eastAsia="Arial" w:hAnsi="Arial"/>
          <w:sz w:val="16"/>
          <w:szCs w:val="16"/>
          <w:color w:val="auto"/>
        </w:rPr>
      </w:pPr>
      <w:r>
        <w:rPr>
          <w:rFonts w:ascii="Arial" w:cs="Arial" w:eastAsia="Arial" w:hAnsi="Arial"/>
          <w:sz w:val="18"/>
          <w:szCs w:val="18"/>
          <w:color w:val="auto"/>
        </w:rPr>
        <w:t>2010 and 2009, the balance includes a syndicated loan amounting to US$136.7 million and US$410.0 million, respectively, obtained from several international financial entities, with maturity on March 2011 and an interest rate of Libor plus 0.75 percent during 2010 and Libor plus 0.85 percent during 2011. This syndicated loan, subject to variable interest rate risk, has been hedged through interest rate swaps (IRS) for the same notional amount and maturities; as a result, this loan was economically converted to fix rate, see note 11(b).</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800" w:right="180"/>
        <w:spacing w:after="0" w:line="264" w:lineRule="auto"/>
        <w:rPr>
          <w:sz w:val="20"/>
          <w:szCs w:val="20"/>
          <w:color w:val="auto"/>
        </w:rPr>
      </w:pPr>
      <w:r>
        <w:rPr>
          <w:rFonts w:ascii="Arial" w:cs="Arial" w:eastAsia="Arial" w:hAnsi="Arial"/>
          <w:sz w:val="18"/>
          <w:szCs w:val="18"/>
          <w:color w:val="auto"/>
        </w:rPr>
        <w:t>As of December 31, 2010, these loans have maturities between January 2011 and May 2019 (between January 2010 and February 2019 as of December 31, 2009) and their annual interest rate is between 0.02 and 12.00 percent (between 0.73 and 12.00 percent as of December 2009).</w:t>
      </w:r>
    </w:p>
    <w:p>
      <w:pPr>
        <w:spacing w:after="0" w:line="181" w:lineRule="exact"/>
        <w:rPr>
          <w:sz w:val="20"/>
          <w:szCs w:val="20"/>
          <w:color w:val="auto"/>
        </w:rPr>
      </w:pPr>
    </w:p>
    <w:p>
      <w:pPr>
        <w:ind w:left="1800" w:right="4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181" w:lineRule="exact"/>
        <w:rPr>
          <w:sz w:val="20"/>
          <w:szCs w:val="20"/>
          <w:color w:val="auto"/>
        </w:rPr>
      </w:pPr>
    </w:p>
    <w:p>
      <w:pPr>
        <w:ind w:left="1800" w:right="20" w:hanging="658"/>
        <w:spacing w:after="0" w:line="257" w:lineRule="auto"/>
        <w:tabs>
          <w:tab w:leader="none" w:pos="18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Corporación Financiera de Desarrollo (COFIDE) to promote the development of Peru, they have maturities between January 2011 and November 2030 and their annual interest rates are between 6.00 and 7.75 percent (between January 2010 and December 2029 and annual interest rate between 6.25 and 7.75 percent as of December 31, 2009). These credit lines are secured by a loan portfolio amounting to US$146.0 and US$81.6 million as of December 31, 2010 and 2009, respectively.</w:t>
      </w:r>
    </w:p>
    <w:p>
      <w:pPr>
        <w:spacing w:after="0" w:line="188" w:lineRule="exact"/>
        <w:rPr>
          <w:rFonts w:ascii="Arial" w:cs="Arial" w:eastAsia="Arial" w:hAnsi="Arial"/>
          <w:sz w:val="18"/>
          <w:szCs w:val="18"/>
          <w:color w:val="auto"/>
        </w:rPr>
      </w:pPr>
    </w:p>
    <w:p>
      <w:pPr>
        <w:jc w:val="both"/>
        <w:ind w:left="1800"/>
        <w:spacing w:after="0" w:line="264" w:lineRule="auto"/>
        <w:rPr>
          <w:rFonts w:ascii="Arial" w:cs="Arial" w:eastAsia="Arial" w:hAnsi="Arial"/>
          <w:sz w:val="18"/>
          <w:szCs w:val="18"/>
          <w:color w:val="auto"/>
        </w:rPr>
      </w:pPr>
      <w:r>
        <w:rPr>
          <w:rFonts w:ascii="Arial" w:cs="Arial" w:eastAsia="Arial" w:hAnsi="Arial"/>
          <w:sz w:val="18"/>
          <w:szCs w:val="18"/>
          <w:color w:val="auto"/>
        </w:rPr>
        <w:t>Promotional credit lines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181" w:lineRule="exact"/>
        <w:rPr>
          <w:rFonts w:ascii="Arial" w:cs="Arial" w:eastAsia="Arial" w:hAnsi="Arial"/>
          <w:sz w:val="18"/>
          <w:szCs w:val="18"/>
          <w:color w:val="auto"/>
        </w:rPr>
      </w:pPr>
    </w:p>
    <w:p>
      <w:pPr>
        <w:ind w:left="1160" w:right="320" w:hanging="652"/>
        <w:spacing w:after="0" w:line="277" w:lineRule="auto"/>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 of December 31, 2010 and 2009, maturities of due to banks and correspondents are shown below, based on the remaining period to the repayment date: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Due to banks and correspondents</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900" w:type="dxa"/>
            <w:vAlign w:val="bottom"/>
            <w:gridSpan w:val="4"/>
          </w:tcPr>
          <w:p>
            <w:pPr>
              <w:jc w:val="right"/>
              <w:ind w:right="140"/>
              <w:spacing w:after="0"/>
              <w:rPr>
                <w:sz w:val="20"/>
                <w:szCs w:val="20"/>
                <w:color w:val="auto"/>
              </w:rPr>
            </w:pPr>
            <w:r>
              <w:rPr>
                <w:rFonts w:ascii="Arial" w:cs="Arial" w:eastAsia="Arial" w:hAnsi="Arial"/>
                <w:sz w:val="18"/>
                <w:szCs w:val="18"/>
                <w:color w:val="auto"/>
              </w:rPr>
              <w:t>US$(000)   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943,797</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469,682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715,951</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to 5 years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41,427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65,533</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2,236,390</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1,162,320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480" w:hanging="646"/>
        <w:spacing w:after="0" w:line="342" w:lineRule="auto"/>
        <w:tabs>
          <w:tab w:leader="none" w:pos="11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As of December 31, 2010 and 2009, credit lines granted by several local and foreign financial institutions, available for future operating activities or to settle capital commitments amounted to US$3,559.1 million (US$1,812.2 million as of December 31, 2009).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insurance claims reserves and reserves for unearned premiums</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14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Reserves for</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Technical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direct claims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Claims assumed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reserves</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84,919</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758,807</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insurance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126,649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1,063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156,808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284,520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41,393</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26,646</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252,961</w:t>
            </w:r>
          </w:p>
        </w:tc>
        <w:tc>
          <w:tcPr>
            <w:tcW w:w="16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942,261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1,196,323</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14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Reserves for</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9"/>
              </w:rPr>
              <w:t>Technical</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direct claims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5"/>
              </w:rPr>
              <w:t>Claims assumed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reserves</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70,960</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630,183</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insurance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139,539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2,828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112,804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255,171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38,625</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23,844</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249,124</w:t>
            </w:r>
          </w:p>
        </w:tc>
        <w:tc>
          <w:tcPr>
            <w:tcW w:w="160" w:type="dxa"/>
            <w:vAlign w:val="bottom"/>
            <w:shd w:val="clear" w:color="auto" w:fill="CCFFCC"/>
          </w:tcPr>
          <w:p>
            <w:pPr>
              <w:spacing w:after="0"/>
              <w:rPr>
                <w:sz w:val="20"/>
                <w:szCs w:val="20"/>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766,831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1,018,791</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120"/>
        <w:spacing w:after="0" w:line="286" w:lineRule="auto"/>
        <w:rPr>
          <w:sz w:val="20"/>
          <w:szCs w:val="20"/>
          <w:color w:val="auto"/>
        </w:rPr>
      </w:pPr>
      <w:r>
        <w:rPr>
          <w:rFonts w:ascii="Arial" w:cs="Arial" w:eastAsia="Arial" w:hAnsi="Arial"/>
          <w:sz w:val="17"/>
          <w:szCs w:val="17"/>
          <w:color w:val="auto"/>
        </w:rPr>
        <w:t>Insurance claims reserves represent reported claims and an estimation for incurred but non reported claims (IBNR). Reported claims are adjusted on the basis of technical reports received from independent adjusters. Claims to be paid by the reinsurers and coinsurers are shown as ceded claims, which are presented in the caption “Accounts receivable from reinsurers and coinsurers”.</w:t>
      </w:r>
    </w:p>
    <w:p>
      <w:pPr>
        <w:spacing w:after="0" w:line="166" w:lineRule="exact"/>
        <w:rPr>
          <w:sz w:val="20"/>
          <w:szCs w:val="20"/>
          <w:color w:val="auto"/>
        </w:rPr>
      </w:pPr>
    </w:p>
    <w:p>
      <w:pPr>
        <w:ind w:left="1140" w:right="320"/>
        <w:spacing w:after="0" w:line="342" w:lineRule="auto"/>
        <w:rPr>
          <w:sz w:val="20"/>
          <w:szCs w:val="20"/>
          <w:color w:val="auto"/>
        </w:rPr>
      </w:pPr>
      <w:r>
        <w:rPr>
          <w:rFonts w:ascii="Arial" w:cs="Arial" w:eastAsia="Arial" w:hAnsi="Arial"/>
          <w:sz w:val="16"/>
          <w:szCs w:val="16"/>
          <w:color w:val="auto"/>
        </w:rPr>
        <w:t>As of December 31, 2010, the reserves for direct claims include reserves for IBNR for life, general and health insurance for an amount of US$25.3, US$2.1 and US$19.2 million, respectively (US$20.2, US$4.3 and US$19.3 million, respectively, as of December 31, 2009).</w:t>
      </w:r>
    </w:p>
    <w:p>
      <w:pPr>
        <w:spacing w:after="0" w:line="124" w:lineRule="exact"/>
        <w:rPr>
          <w:sz w:val="20"/>
          <w:szCs w:val="20"/>
          <w:color w:val="auto"/>
        </w:rPr>
      </w:pPr>
    </w:p>
    <w:p>
      <w:pPr>
        <w:jc w:val="both"/>
        <w:ind w:left="1140"/>
        <w:spacing w:after="0" w:line="286" w:lineRule="auto"/>
        <w:rPr>
          <w:sz w:val="20"/>
          <w:szCs w:val="20"/>
          <w:color w:val="auto"/>
        </w:rPr>
      </w:pPr>
      <w:r>
        <w:rPr>
          <w:rFonts w:ascii="Arial" w:cs="Arial" w:eastAsia="Arial" w:hAnsi="Arial"/>
          <w:sz w:val="17"/>
          <w:szCs w:val="17"/>
          <w:color w:val="auto"/>
        </w:rPr>
        <w:t>During 2010 and previous years, the differences between the estimations for the incurred and non-reported claims and the settled and pending liquidation claims have not been significant. Retrospective analysis indicates that the amounts provisioned are adequate and the Management believes that the estimated IBNR reserve is sufficient to cover any liability as of December 31, 2010 and 2009.</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for the years ended December 31, 2010 and 2009 of insurance claims and technical reserves is as follows: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9"/>
              </w:rPr>
              <w:t>2010</w:t>
            </w: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40" w:type="dxa"/>
            <w:vAlign w:val="bottom"/>
            <w:gridSpan w:val="3"/>
          </w:tcPr>
          <w:p>
            <w:pPr>
              <w:jc w:val="right"/>
              <w:ind w:right="480"/>
              <w:spacing w:after="0" w:line="198" w:lineRule="exact"/>
              <w:rPr>
                <w:sz w:val="20"/>
                <w:szCs w:val="20"/>
                <w:color w:val="auto"/>
              </w:rPr>
            </w:pPr>
            <w:r>
              <w:rPr>
                <w:rFonts w:ascii="Arial" w:cs="Arial" w:eastAsia="Arial" w:hAnsi="Arial"/>
                <w:sz w:val="18"/>
                <w:szCs w:val="18"/>
                <w:b w:val="1"/>
                <w:bCs w:val="1"/>
                <w:color w:val="auto"/>
              </w:rPr>
              <w:t>Life</w:t>
            </w:r>
          </w:p>
        </w:tc>
        <w:tc>
          <w:tcPr>
            <w:tcW w:w="920" w:type="dxa"/>
            <w:vAlign w:val="bottom"/>
            <w:gridSpan w:val="5"/>
          </w:tcPr>
          <w:p>
            <w:pPr>
              <w:jc w:val="center"/>
              <w:ind w:right="60"/>
              <w:spacing w:after="0" w:line="198" w:lineRule="exact"/>
              <w:rPr>
                <w:sz w:val="20"/>
                <w:szCs w:val="20"/>
                <w:color w:val="auto"/>
              </w:rPr>
            </w:pPr>
            <w:r>
              <w:rPr>
                <w:rFonts w:ascii="Arial" w:cs="Arial" w:eastAsia="Arial" w:hAnsi="Arial"/>
                <w:sz w:val="18"/>
                <w:szCs w:val="18"/>
                <w:b w:val="1"/>
                <w:bCs w:val="1"/>
                <w:color w:val="auto"/>
                <w:w w:val="92"/>
              </w:rPr>
              <w:t>General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insurance</w:t>
            </w:r>
          </w:p>
        </w:tc>
        <w:tc>
          <w:tcPr>
            <w:tcW w:w="9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insurance</w:t>
            </w:r>
          </w:p>
        </w:tc>
        <w:tc>
          <w:tcPr>
            <w:tcW w:w="15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0"/>
              </w:rPr>
              <w:t>Health insurance</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US$(000)</w:t>
            </w:r>
          </w:p>
        </w:tc>
        <w:tc>
          <w:tcPr>
            <w:tcW w:w="92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70,960</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89"/>
              </w:rPr>
              <w:t>142,367</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38,633</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251,960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Claims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102,821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82,763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161,606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347,190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(92,268)</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5"/>
              </w:rPr>
              <w:t>(97,326)</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(159,201)</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(348,795)</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result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84,919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127,712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41,431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254,062</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9"/>
              </w:rPr>
              <w:t>2009</w:t>
            </w: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40" w:type="dxa"/>
            <w:vAlign w:val="bottom"/>
            <w:gridSpan w:val="3"/>
          </w:tcPr>
          <w:p>
            <w:pPr>
              <w:jc w:val="right"/>
              <w:ind w:right="480"/>
              <w:spacing w:after="0" w:line="198" w:lineRule="exact"/>
              <w:rPr>
                <w:sz w:val="20"/>
                <w:szCs w:val="20"/>
                <w:color w:val="auto"/>
              </w:rPr>
            </w:pPr>
            <w:r>
              <w:rPr>
                <w:rFonts w:ascii="Arial" w:cs="Arial" w:eastAsia="Arial" w:hAnsi="Arial"/>
                <w:sz w:val="18"/>
                <w:szCs w:val="18"/>
                <w:b w:val="1"/>
                <w:bCs w:val="1"/>
                <w:color w:val="auto"/>
              </w:rPr>
              <w:t>Life</w:t>
            </w:r>
          </w:p>
        </w:tc>
        <w:tc>
          <w:tcPr>
            <w:tcW w:w="920" w:type="dxa"/>
            <w:vAlign w:val="bottom"/>
            <w:gridSpan w:val="5"/>
          </w:tcPr>
          <w:p>
            <w:pPr>
              <w:jc w:val="center"/>
              <w:ind w:right="60"/>
              <w:spacing w:after="0" w:line="198" w:lineRule="exact"/>
              <w:rPr>
                <w:sz w:val="20"/>
                <w:szCs w:val="20"/>
                <w:color w:val="auto"/>
              </w:rPr>
            </w:pPr>
            <w:r>
              <w:rPr>
                <w:rFonts w:ascii="Arial" w:cs="Arial" w:eastAsia="Arial" w:hAnsi="Arial"/>
                <w:sz w:val="18"/>
                <w:szCs w:val="18"/>
                <w:b w:val="1"/>
                <w:bCs w:val="1"/>
                <w:color w:val="auto"/>
                <w:w w:val="92"/>
              </w:rPr>
              <w:t>General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insurance</w:t>
            </w:r>
          </w:p>
        </w:tc>
        <w:tc>
          <w:tcPr>
            <w:tcW w:w="9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insurance</w:t>
            </w:r>
          </w:p>
        </w:tc>
        <w:tc>
          <w:tcPr>
            <w:tcW w:w="15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0"/>
              </w:rPr>
              <w:t>Health insurance</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US$(000)</w:t>
            </w:r>
          </w:p>
        </w:tc>
        <w:tc>
          <w:tcPr>
            <w:tcW w:w="92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64,553</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89"/>
              </w:rPr>
              <w:t>170,109</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37,768</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272,430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Claims</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80,970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108,397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148,985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338,352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(76,301)</w:t>
            </w:r>
          </w:p>
        </w:tc>
        <w:tc>
          <w:tcPr>
            <w:tcW w:w="92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(136,315)</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(149,731)</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(362,347)</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result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1,611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70,960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142,367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38,633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251,960</w:t>
            </w:r>
          </w:p>
        </w:tc>
        <w:tc>
          <w:tcPr>
            <w:tcW w:w="0" w:type="dxa"/>
            <w:vAlign w:val="bottom"/>
          </w:tcPr>
          <w:p>
            <w:pPr>
              <w:spacing w:after="0"/>
              <w:rPr>
                <w:sz w:val="1"/>
                <w:szCs w:val="1"/>
                <w:color w:val="auto"/>
              </w:rPr>
            </w:pPr>
          </w:p>
        </w:tc>
      </w:tr>
      <w:tr>
        <w:trPr>
          <w:trHeight w:val="21"/>
        </w:trPr>
        <w:tc>
          <w:tcPr>
            <w:tcW w:w="420" w:type="dxa"/>
            <w:vAlign w:val="bottom"/>
            <w:vMerge w:val="restart"/>
          </w:tcPr>
          <w:p>
            <w:pPr>
              <w:spacing w:after="0"/>
              <w:rPr>
                <w:sz w:val="20"/>
                <w:szCs w:val="20"/>
                <w:color w:val="auto"/>
              </w:rPr>
            </w:pPr>
            <w:r>
              <w:rPr>
                <w:rFonts w:ascii="Arial" w:cs="Arial" w:eastAsia="Arial" w:hAnsi="Arial"/>
                <w:sz w:val="18"/>
                <w:szCs w:val="18"/>
                <w:color w:val="auto"/>
              </w:rPr>
              <w:t>(c)</w:t>
            </w:r>
          </w:p>
        </w:tc>
        <w:tc>
          <w:tcPr>
            <w:tcW w:w="220" w:type="dxa"/>
            <w:vAlign w:val="bottom"/>
          </w:tcPr>
          <w:p>
            <w:pPr>
              <w:spacing w:after="0" w:line="20" w:lineRule="exact"/>
              <w:rPr>
                <w:sz w:val="1"/>
                <w:szCs w:val="1"/>
                <w:color w:val="auto"/>
              </w:rPr>
            </w:pPr>
          </w:p>
        </w:tc>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Technical reserves: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2"/>
          </w:tcPr>
          <w:p>
            <w:pPr>
              <w:jc w:val="center"/>
              <w:ind w:left="110"/>
              <w:spacing w:after="0" w:line="198" w:lineRule="exact"/>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center"/>
              <w:ind w:right="20"/>
              <w:spacing w:after="0" w:line="198" w:lineRule="exact"/>
              <w:rPr>
                <w:sz w:val="20"/>
                <w:szCs w:val="20"/>
                <w:color w:val="auto"/>
              </w:rPr>
            </w:pPr>
            <w:r>
              <w:rPr>
                <w:rFonts w:ascii="Arial" w:cs="Arial" w:eastAsia="Arial" w:hAnsi="Arial"/>
                <w:sz w:val="18"/>
                <w:szCs w:val="18"/>
                <w:b w:val="1"/>
                <w:bCs w:val="1"/>
                <w:color w:val="auto"/>
                <w:w w:val="92"/>
              </w:rPr>
              <w:t>General</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Health</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6"/>
              </w:rPr>
              <w:t>insurance</w:t>
            </w:r>
          </w:p>
        </w:tc>
        <w:tc>
          <w:tcPr>
            <w:tcW w:w="120" w:type="dxa"/>
            <w:vAlign w:val="bottom"/>
          </w:tcPr>
          <w:p>
            <w:pPr>
              <w:spacing w:after="0"/>
              <w:rPr>
                <w:sz w:val="19"/>
                <w:szCs w:val="19"/>
                <w:color w:val="auto"/>
              </w:rPr>
            </w:pPr>
          </w:p>
        </w:tc>
        <w:tc>
          <w:tcPr>
            <w:tcW w:w="9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insurance</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US$(000)</w:t>
            </w:r>
          </w:p>
        </w:tc>
        <w:tc>
          <w:tcPr>
            <w:tcW w:w="120" w:type="dxa"/>
            <w:vAlign w:val="bottom"/>
          </w:tcPr>
          <w:p>
            <w:pPr>
              <w:spacing w:after="0"/>
              <w:rPr>
                <w:sz w:val="20"/>
                <w:szCs w:val="20"/>
                <w:color w:val="auto"/>
              </w:rPr>
            </w:pPr>
          </w:p>
        </w:tc>
        <w:tc>
          <w:tcPr>
            <w:tcW w:w="9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US$(000)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24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630,183</w:t>
            </w:r>
          </w:p>
        </w:tc>
        <w:tc>
          <w:tcPr>
            <w:tcW w:w="60" w:type="dxa"/>
            <w:vAlign w:val="bottom"/>
            <w:shd w:val="clear" w:color="auto" w:fill="CCFFCC"/>
          </w:tcPr>
          <w:p>
            <w:pPr>
              <w:spacing w:after="0"/>
              <w:rPr>
                <w:sz w:val="18"/>
                <w:szCs w:val="18"/>
                <w:color w:val="auto"/>
              </w:rPr>
            </w:pPr>
          </w:p>
        </w:tc>
        <w:tc>
          <w:tcPr>
            <w:tcW w:w="1040" w:type="dxa"/>
            <w:vAlign w:val="bottom"/>
            <w:gridSpan w:val="6"/>
            <w:shd w:val="clear" w:color="auto" w:fill="CCFFCC"/>
          </w:tcPr>
          <w:p>
            <w:pPr>
              <w:jc w:val="right"/>
              <w:ind w:right="20"/>
              <w:spacing w:after="0"/>
              <w:rPr>
                <w:sz w:val="20"/>
                <w:szCs w:val="20"/>
                <w:color w:val="auto"/>
              </w:rPr>
            </w:pPr>
            <w:r>
              <w:rPr>
                <w:rFonts w:ascii="Arial" w:cs="Arial" w:eastAsia="Arial" w:hAnsi="Arial"/>
                <w:sz w:val="18"/>
                <w:szCs w:val="18"/>
                <w:color w:val="auto"/>
              </w:rPr>
              <w:t>112,804</w:t>
            </w: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23,844</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766,831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32,196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32,196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0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(410)</w:t>
            </w:r>
          </w:p>
        </w:tc>
        <w:tc>
          <w:tcPr>
            <w:tcW w:w="1040" w:type="dxa"/>
            <w:vAlign w:val="bottom"/>
            <w:gridSpan w:val="6"/>
            <w:shd w:val="clear" w:color="auto" w:fill="CCFFCC"/>
          </w:tcPr>
          <w:p>
            <w:pPr>
              <w:jc w:val="right"/>
              <w:ind w:right="20"/>
              <w:spacing w:after="0"/>
              <w:rPr>
                <w:sz w:val="20"/>
                <w:szCs w:val="20"/>
                <w:color w:val="auto"/>
              </w:rPr>
            </w:pPr>
            <w:r>
              <w:rPr>
                <w:rFonts w:ascii="Arial" w:cs="Arial" w:eastAsia="Arial" w:hAnsi="Arial"/>
                <w:sz w:val="18"/>
                <w:szCs w:val="18"/>
                <w:color w:val="auto"/>
              </w:rPr>
              <w:t>44,150</w:t>
            </w: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3,369</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47,109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157,198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157,198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(34,616)</w:t>
            </w:r>
          </w:p>
        </w:tc>
        <w:tc>
          <w:tcPr>
            <w:tcW w:w="1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(34,616)</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result</w:t>
            </w:r>
          </w:p>
        </w:tc>
        <w:tc>
          <w:tcPr>
            <w:tcW w:w="34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(25,744)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4"/>
          </w:tcPr>
          <w:p>
            <w:pPr>
              <w:jc w:val="right"/>
              <w:ind w:right="30"/>
              <w:spacing w:after="0"/>
              <w:rPr>
                <w:sz w:val="20"/>
                <w:szCs w:val="20"/>
                <w:color w:val="auto"/>
              </w:rPr>
            </w:pPr>
            <w:r>
              <w:rPr>
                <w:rFonts w:ascii="Arial" w:cs="Arial" w:eastAsia="Arial" w:hAnsi="Arial"/>
                <w:sz w:val="18"/>
                <w:szCs w:val="18"/>
                <w:color w:val="auto"/>
                <w:w w:val="95"/>
              </w:rPr>
              <w:t>(146)</w:t>
            </w:r>
          </w:p>
        </w:tc>
        <w:tc>
          <w:tcPr>
            <w:tcW w:w="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(26,457)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tcBorders>
              <w:top w:val="single" w:sz="8" w:color="auto"/>
            </w:tcBorders>
            <w:gridSpan w:val="3"/>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tcBorders>
              <w:top w:val="single" w:sz="8" w:color="auto"/>
            </w:tcBorders>
            <w:gridSpan w:val="4"/>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758,807</w:t>
            </w:r>
          </w:p>
        </w:tc>
        <w:tc>
          <w:tcPr>
            <w:tcW w:w="60" w:type="dxa"/>
            <w:vAlign w:val="bottom"/>
          </w:tcPr>
          <w:p>
            <w:pPr>
              <w:spacing w:after="0"/>
              <w:rPr>
                <w:sz w:val="18"/>
                <w:szCs w:val="18"/>
                <w:color w:val="auto"/>
              </w:rPr>
            </w:pPr>
          </w:p>
        </w:tc>
        <w:tc>
          <w:tcPr>
            <w:tcW w:w="1040" w:type="dxa"/>
            <w:vAlign w:val="bottom"/>
            <w:gridSpan w:val="6"/>
          </w:tcPr>
          <w:p>
            <w:pPr>
              <w:jc w:val="right"/>
              <w:ind w:right="20"/>
              <w:spacing w:after="0"/>
              <w:rPr>
                <w:sz w:val="20"/>
                <w:szCs w:val="20"/>
                <w:color w:val="auto"/>
              </w:rPr>
            </w:pPr>
            <w:r>
              <w:rPr>
                <w:rFonts w:ascii="Arial" w:cs="Arial" w:eastAsia="Arial" w:hAnsi="Arial"/>
                <w:sz w:val="18"/>
                <w:szCs w:val="18"/>
                <w:color w:val="auto"/>
              </w:rPr>
              <w:t>156,808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26,646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942,261</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3"/>
              </w:rPr>
              <w:t>Life</w:t>
            </w:r>
          </w:p>
        </w:tc>
        <w:tc>
          <w:tcPr>
            <w:tcW w:w="114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General</w:t>
            </w:r>
          </w:p>
        </w:tc>
        <w:tc>
          <w:tcPr>
            <w:tcW w:w="9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Health</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insurance</w:t>
            </w: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insurance</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US$(000)</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553,127</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124,846</w:t>
            </w: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17,367</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16,384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3,393</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(14,016)</w:t>
            </w:r>
          </w:p>
        </w:tc>
        <w:tc>
          <w:tcPr>
            <w:tcW w:w="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6,580</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900" w:type="dxa"/>
            <w:vAlign w:val="bottom"/>
          </w:tcPr>
          <w:p>
            <w:pPr>
              <w:jc w:val="right"/>
              <w:spacing w:after="0"/>
              <w:rPr>
                <w:sz w:val="20"/>
                <w:szCs w:val="20"/>
                <w:color w:val="auto"/>
              </w:rPr>
            </w:pPr>
            <w:r>
              <w:rPr>
                <w:rFonts w:ascii="Arial" w:cs="Arial" w:eastAsia="Arial" w:hAnsi="Arial"/>
                <w:sz w:val="18"/>
                <w:szCs w:val="18"/>
                <w:color w:val="auto"/>
              </w:rPr>
              <w:t>79,990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(8,122)</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(14,589)</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1,974</w:t>
            </w:r>
          </w:p>
        </w:tc>
        <w:tc>
          <w:tcPr>
            <w:tcW w:w="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900" w:type="dxa"/>
            <w:vAlign w:val="bottom"/>
          </w:tcPr>
          <w:p>
            <w:pPr>
              <w:jc w:val="right"/>
              <w:spacing w:after="0"/>
              <w:rPr>
                <w:sz w:val="20"/>
                <w:szCs w:val="20"/>
                <w:color w:val="auto"/>
              </w:rPr>
            </w:pPr>
            <w:r>
              <w:rPr>
                <w:rFonts w:ascii="Arial" w:cs="Arial" w:eastAsia="Arial" w:hAnsi="Arial"/>
                <w:sz w:val="18"/>
                <w:szCs w:val="18"/>
                <w:color w:val="auto"/>
              </w:rPr>
              <w:t>630,183</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112,804</w:t>
            </w:r>
          </w:p>
        </w:tc>
        <w:tc>
          <w:tcPr>
            <w:tcW w:w="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23,844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766,831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140" w:right="20"/>
        <w:spacing w:after="0" w:line="264" w:lineRule="auto"/>
        <w:rPr>
          <w:sz w:val="20"/>
          <w:szCs w:val="20"/>
          <w:color w:val="auto"/>
        </w:rPr>
      </w:pPr>
      <w:r>
        <w:rPr>
          <w:rFonts w:ascii="Arial" w:cs="Arial" w:eastAsia="Arial" w:hAnsi="Arial"/>
          <w:sz w:val="18"/>
          <w:szCs w:val="18"/>
          <w:color w:val="auto"/>
        </w:rPr>
        <w:t>As of December 31, 2010 and 2009, no additional reserves were needed as a result of the liability adequacy test. The main assumptions used in estimation of Retirement, disability and survival fixed pensions and traditional life and unit linked insurance contracts reserves as of those dates, were the following:</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760" w:type="dxa"/>
            <w:vAlign w:val="bottom"/>
          </w:tcPr>
          <w:p>
            <w:pPr>
              <w:ind w:left="1040"/>
              <w:spacing w:after="0"/>
              <w:rPr>
                <w:sz w:val="20"/>
                <w:szCs w:val="20"/>
                <w:color w:val="auto"/>
              </w:rPr>
            </w:pPr>
            <w:r>
              <w:rPr>
                <w:rFonts w:ascii="Arial" w:cs="Arial" w:eastAsia="Arial" w:hAnsi="Arial"/>
                <w:sz w:val="18"/>
                <w:szCs w:val="18"/>
                <w:b w:val="1"/>
                <w:bCs w:val="1"/>
                <w:color w:val="auto"/>
              </w:rPr>
              <w:t>Modality</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Mortality Table</w:t>
            </w:r>
          </w:p>
        </w:tc>
        <w:tc>
          <w:tcPr>
            <w:tcW w:w="68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Arial" w:cs="Arial" w:eastAsia="Arial" w:hAnsi="Arial"/>
                <w:sz w:val="18"/>
                <w:szCs w:val="18"/>
                <w:b w:val="1"/>
                <w:bCs w:val="1"/>
                <w:color w:val="auto"/>
              </w:rPr>
              <w:t>Technical rates</w:t>
            </w: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Retirement, disability and survival</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RV - 2004, B - 85, MI - 85, B - 2006</w:t>
            </w:r>
          </w:p>
        </w:tc>
        <w:tc>
          <w:tcPr>
            <w:tcW w:w="680" w:type="dxa"/>
            <w:vAlign w:val="bottom"/>
          </w:tcPr>
          <w:p>
            <w:pPr>
              <w:ind w:left="200"/>
              <w:spacing w:after="0"/>
              <w:rPr>
                <w:sz w:val="20"/>
                <w:szCs w:val="20"/>
                <w:color w:val="auto"/>
              </w:rPr>
            </w:pPr>
            <w:r>
              <w:rPr>
                <w:rFonts w:ascii="Arial" w:cs="Arial" w:eastAsia="Arial" w:hAnsi="Arial"/>
                <w:sz w:val="18"/>
                <w:szCs w:val="18"/>
                <w:color w:val="auto"/>
                <w:w w:val="90"/>
              </w:rPr>
              <w:t>4.49%</w:t>
            </w:r>
          </w:p>
        </w:tc>
        <w:tc>
          <w:tcPr>
            <w:tcW w:w="2060" w:type="dxa"/>
            <w:vAlign w:val="bottom"/>
          </w:tcPr>
          <w:p>
            <w:pPr>
              <w:ind w:left="20"/>
              <w:spacing w:after="0"/>
              <w:rPr>
                <w:sz w:val="20"/>
                <w:szCs w:val="20"/>
                <w:color w:val="auto"/>
              </w:rPr>
            </w:pPr>
            <w:r>
              <w:rPr>
                <w:rFonts w:ascii="Arial" w:cs="Arial" w:eastAsia="Arial" w:hAnsi="Arial"/>
                <w:sz w:val="18"/>
                <w:szCs w:val="18"/>
                <w:color w:val="auto"/>
                <w:w w:val="90"/>
              </w:rPr>
              <w:t>- 5.22% in US$ and 3.20% -</w:t>
            </w:r>
          </w:p>
        </w:tc>
      </w:tr>
      <w:tr>
        <w:trPr>
          <w:trHeight w:val="216"/>
        </w:trPr>
        <w:tc>
          <w:tcPr>
            <w:tcW w:w="2760" w:type="dxa"/>
            <w:vAlign w:val="bottom"/>
          </w:tcPr>
          <w:p>
            <w:pPr>
              <w:ind w:left="160"/>
              <w:spacing w:after="0"/>
              <w:rPr>
                <w:sz w:val="20"/>
                <w:szCs w:val="20"/>
                <w:color w:val="auto"/>
              </w:rPr>
            </w:pPr>
            <w:r>
              <w:rPr>
                <w:rFonts w:ascii="Arial" w:cs="Arial" w:eastAsia="Arial" w:hAnsi="Arial"/>
                <w:sz w:val="18"/>
                <w:szCs w:val="18"/>
                <w:color w:val="auto"/>
              </w:rPr>
              <w:t>fixed pensions</w:t>
            </w:r>
          </w:p>
        </w:tc>
        <w:tc>
          <w:tcPr>
            <w:tcW w:w="3100" w:type="dxa"/>
            <w:vAlign w:val="bottom"/>
          </w:tcPr>
          <w:p>
            <w:pPr>
              <w:jc w:val="center"/>
              <w:spacing w:after="0"/>
              <w:rPr>
                <w:sz w:val="20"/>
                <w:szCs w:val="20"/>
                <w:color w:val="auto"/>
              </w:rPr>
            </w:pPr>
            <w:r>
              <w:rPr>
                <w:rFonts w:ascii="Arial" w:cs="Arial" w:eastAsia="Arial" w:hAnsi="Arial"/>
                <w:sz w:val="18"/>
                <w:szCs w:val="18"/>
                <w:color w:val="auto"/>
                <w:w w:val="93"/>
              </w:rPr>
              <w:t>and MI - 2006</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3.55% in S/.</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Traditional life and unit linked</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CSO 80 adjustable</w:t>
            </w:r>
          </w:p>
        </w:tc>
        <w:tc>
          <w:tcPr>
            <w:tcW w:w="680" w:type="dxa"/>
            <w:vAlign w:val="bottom"/>
          </w:tcPr>
          <w:p>
            <w:pPr>
              <w:ind w:left="200"/>
              <w:spacing w:after="0"/>
              <w:rPr>
                <w:sz w:val="20"/>
                <w:szCs w:val="20"/>
                <w:color w:val="auto"/>
              </w:rPr>
            </w:pPr>
            <w:r>
              <w:rPr>
                <w:rFonts w:ascii="Arial" w:cs="Arial" w:eastAsia="Arial" w:hAnsi="Arial"/>
                <w:sz w:val="18"/>
                <w:szCs w:val="18"/>
                <w:color w:val="auto"/>
                <w:w w:val="90"/>
              </w:rPr>
              <w:t>4.00%</w:t>
            </w:r>
          </w:p>
        </w:tc>
        <w:tc>
          <w:tcPr>
            <w:tcW w:w="2060" w:type="dxa"/>
            <w:vAlign w:val="bottom"/>
          </w:tcPr>
          <w:p>
            <w:pPr>
              <w:ind w:left="20"/>
              <w:spacing w:after="0"/>
              <w:rPr>
                <w:sz w:val="20"/>
                <w:szCs w:val="20"/>
                <w:color w:val="auto"/>
              </w:rPr>
            </w:pPr>
            <w:r>
              <w:rPr>
                <w:rFonts w:ascii="Arial" w:cs="Arial" w:eastAsia="Arial" w:hAnsi="Arial"/>
                <w:sz w:val="18"/>
                <w:szCs w:val="18"/>
                <w:color w:val="auto"/>
              </w:rPr>
              <w:t>- 5.00% in US$</w:t>
            </w:r>
          </w:p>
        </w:tc>
      </w:tr>
      <w:tr>
        <w:trPr>
          <w:trHeight w:val="230"/>
        </w:trPr>
        <w:tc>
          <w:tcPr>
            <w:tcW w:w="2760" w:type="dxa"/>
            <w:vAlign w:val="bottom"/>
          </w:tcPr>
          <w:p>
            <w:pPr>
              <w:ind w:left="160"/>
              <w:spacing w:after="0"/>
              <w:rPr>
                <w:sz w:val="20"/>
                <w:szCs w:val="20"/>
                <w:color w:val="auto"/>
              </w:rPr>
            </w:pPr>
            <w:r>
              <w:rPr>
                <w:rFonts w:ascii="Arial" w:cs="Arial" w:eastAsia="Arial" w:hAnsi="Arial"/>
                <w:sz w:val="18"/>
                <w:szCs w:val="18"/>
                <w:color w:val="auto"/>
              </w:rPr>
              <w:t>insurance contracts</w:t>
            </w:r>
          </w:p>
        </w:tc>
        <w:tc>
          <w:tcPr>
            <w:tcW w:w="3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2" w:lineRule="exact"/>
        <w:rPr>
          <w:sz w:val="20"/>
          <w:szCs w:val="20"/>
          <w:color w:val="auto"/>
        </w:rPr>
      </w:pPr>
    </w:p>
    <w:p>
      <w:pPr>
        <w:ind w:left="1140"/>
        <w:spacing w:after="0" w:line="279" w:lineRule="auto"/>
        <w:rPr>
          <w:sz w:val="20"/>
          <w:szCs w:val="20"/>
          <w:color w:val="auto"/>
        </w:rPr>
      </w:pPr>
      <w:r>
        <w:rPr>
          <w:rFonts w:ascii="Arial" w:cs="Arial" w:eastAsia="Arial" w:hAnsi="Arial"/>
          <w:sz w:val="17"/>
          <w:szCs w:val="17"/>
          <w:color w:val="auto"/>
        </w:rPr>
        <w:t>The sensitivity of the estimates used by the Group to measure its insurance risks is represented primarily by the life insurance risks; the main variables as of December 31, 2010, are the interest rates and the mortality tables used. The Group has evaluated the changes of the reserves related to its most significant life insurance contracts included in retirement, disability and survival fixed pensions contracts of +/- 100 bps of the interest rates and of +/- 5 bps of the mortality factors, being the results as follows: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83"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780" w:type="dxa"/>
            <w:vAlign w:val="bottom"/>
          </w:tcPr>
          <w:p>
            <w:pPr>
              <w:jc w:val="center"/>
              <w:ind w:left="1270"/>
              <w:spacing w:after="0"/>
              <w:rPr>
                <w:sz w:val="20"/>
                <w:szCs w:val="20"/>
                <w:color w:val="auto"/>
              </w:rPr>
            </w:pPr>
            <w:r>
              <w:rPr>
                <w:rFonts w:ascii="Arial" w:cs="Arial" w:eastAsia="Arial" w:hAnsi="Arial"/>
                <w:sz w:val="18"/>
                <w:szCs w:val="18"/>
                <w:b w:val="1"/>
                <w:bCs w:val="1"/>
                <w:color w:val="auto"/>
                <w:w w:val="90"/>
              </w:rPr>
              <w:t>Amount of the</w:t>
            </w:r>
          </w:p>
        </w:tc>
        <w:tc>
          <w:tcPr>
            <w:tcW w:w="2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Variation of the reserve</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Variables</w:t>
            </w:r>
          </w:p>
        </w:tc>
        <w:tc>
          <w:tcPr>
            <w:tcW w:w="2780" w:type="dxa"/>
            <w:vAlign w:val="bottom"/>
          </w:tcPr>
          <w:p>
            <w:pPr>
              <w:jc w:val="center"/>
              <w:ind w:left="1270"/>
              <w:spacing w:after="0" w:line="201" w:lineRule="exact"/>
              <w:rPr>
                <w:sz w:val="20"/>
                <w:szCs w:val="20"/>
                <w:color w:val="auto"/>
              </w:rPr>
            </w:pPr>
            <w:r>
              <w:rPr>
                <w:rFonts w:ascii="Arial" w:cs="Arial" w:eastAsia="Arial" w:hAnsi="Arial"/>
                <w:sz w:val="18"/>
                <w:szCs w:val="18"/>
                <w:b w:val="1"/>
                <w:bCs w:val="1"/>
                <w:color w:val="auto"/>
                <w:w w:val="84"/>
              </w:rPr>
              <w:t>reserve</w:t>
            </w:r>
          </w:p>
        </w:tc>
        <w:tc>
          <w:tcPr>
            <w:tcW w:w="100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b w:val="1"/>
                <w:bCs w:val="1"/>
                <w:color w:val="auto"/>
              </w:rPr>
              <w:t>Amount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w w:val="90"/>
              </w:rPr>
              <w:t>Percentage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780" w:type="dxa"/>
            <w:vAlign w:val="bottom"/>
          </w:tcPr>
          <w:p>
            <w:pPr>
              <w:jc w:val="center"/>
              <w:ind w:left="1270"/>
              <w:spacing w:after="0"/>
              <w:rPr>
                <w:sz w:val="20"/>
                <w:szCs w:val="20"/>
                <w:color w:val="auto"/>
              </w:rPr>
            </w:pPr>
            <w:r>
              <w:rPr>
                <w:rFonts w:ascii="Arial" w:cs="Arial" w:eastAsia="Arial" w:hAnsi="Arial"/>
                <w:sz w:val="18"/>
                <w:szCs w:val="18"/>
                <w:color w:val="auto"/>
                <w:w w:val="90"/>
              </w:rPr>
              <w:t>US$(000)</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US$(000)</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2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424,327</w:t>
            </w:r>
          </w:p>
        </w:tc>
        <w:tc>
          <w:tcPr>
            <w:tcW w:w="10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385,671</w:t>
            </w:r>
          </w:p>
        </w:tc>
        <w:tc>
          <w:tcPr>
            <w:tcW w:w="1000" w:type="dxa"/>
            <w:vAlign w:val="bottom"/>
          </w:tcPr>
          <w:p>
            <w:pPr>
              <w:jc w:val="right"/>
              <w:spacing w:after="0"/>
              <w:rPr>
                <w:sz w:val="20"/>
                <w:szCs w:val="20"/>
                <w:color w:val="auto"/>
              </w:rPr>
            </w:pPr>
            <w:r>
              <w:rPr>
                <w:rFonts w:ascii="Arial" w:cs="Arial" w:eastAsia="Arial" w:hAnsi="Arial"/>
                <w:sz w:val="18"/>
                <w:szCs w:val="18"/>
                <w:color w:val="auto"/>
              </w:rPr>
              <w:t>(38,656)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470,285</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45,958</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419,675</w:t>
            </w:r>
          </w:p>
        </w:tc>
        <w:tc>
          <w:tcPr>
            <w:tcW w:w="1000" w:type="dxa"/>
            <w:vAlign w:val="bottom"/>
          </w:tcPr>
          <w:p>
            <w:pPr>
              <w:jc w:val="right"/>
              <w:spacing w:after="0"/>
              <w:rPr>
                <w:sz w:val="20"/>
                <w:szCs w:val="20"/>
                <w:color w:val="auto"/>
              </w:rPr>
            </w:pPr>
            <w:r>
              <w:rPr>
                <w:rFonts w:ascii="Arial" w:cs="Arial" w:eastAsia="Arial" w:hAnsi="Arial"/>
                <w:sz w:val="18"/>
                <w:szCs w:val="18"/>
                <w:color w:val="auto"/>
              </w:rPr>
              <w:t>(4,652)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429,239</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4,912</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2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73,151</w:t>
            </w:r>
          </w:p>
        </w:tc>
        <w:tc>
          <w:tcPr>
            <w:tcW w:w="10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65,264</w:t>
            </w:r>
          </w:p>
        </w:tc>
        <w:tc>
          <w:tcPr>
            <w:tcW w:w="1000" w:type="dxa"/>
            <w:vAlign w:val="bottom"/>
          </w:tcPr>
          <w:p>
            <w:pPr>
              <w:jc w:val="right"/>
              <w:spacing w:after="0"/>
              <w:rPr>
                <w:sz w:val="20"/>
                <w:szCs w:val="20"/>
                <w:color w:val="auto"/>
              </w:rPr>
            </w:pPr>
            <w:r>
              <w:rPr>
                <w:rFonts w:ascii="Arial" w:cs="Arial" w:eastAsia="Arial" w:hAnsi="Arial"/>
                <w:sz w:val="18"/>
                <w:szCs w:val="18"/>
                <w:color w:val="auto"/>
              </w:rPr>
              <w:t>(7,887)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82,925</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9,774</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780" w:type="dxa"/>
            <w:vAlign w:val="bottom"/>
          </w:tcPr>
          <w:p>
            <w:pPr>
              <w:jc w:val="right"/>
              <w:ind w:right="70"/>
              <w:spacing w:after="0"/>
              <w:rPr>
                <w:sz w:val="20"/>
                <w:szCs w:val="20"/>
                <w:color w:val="auto"/>
              </w:rPr>
            </w:pPr>
            <w:r>
              <w:rPr>
                <w:rFonts w:ascii="Arial" w:cs="Arial" w:eastAsia="Arial" w:hAnsi="Arial"/>
                <w:sz w:val="18"/>
                <w:szCs w:val="18"/>
                <w:color w:val="auto"/>
              </w:rPr>
              <w:t>72,630</w:t>
            </w:r>
          </w:p>
        </w:tc>
        <w:tc>
          <w:tcPr>
            <w:tcW w:w="1000" w:type="dxa"/>
            <w:vAlign w:val="bottom"/>
          </w:tcPr>
          <w:p>
            <w:pPr>
              <w:jc w:val="right"/>
              <w:spacing w:after="0"/>
              <w:rPr>
                <w:sz w:val="20"/>
                <w:szCs w:val="20"/>
                <w:color w:val="auto"/>
              </w:rPr>
            </w:pPr>
            <w:r>
              <w:rPr>
                <w:rFonts w:ascii="Arial" w:cs="Arial" w:eastAsia="Arial" w:hAnsi="Arial"/>
                <w:sz w:val="18"/>
                <w:szCs w:val="18"/>
                <w:color w:val="auto"/>
              </w:rPr>
              <w:t>(521)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73,704</w:t>
            </w:r>
          </w:p>
        </w:tc>
        <w:tc>
          <w:tcPr>
            <w:tcW w:w="10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553</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15.</w:t>
            </w:r>
          </w:p>
        </w:tc>
        <w:tc>
          <w:tcPr>
            <w:tcW w:w="3620" w:type="dxa"/>
            <w:vAlign w:val="bottom"/>
            <w:gridSpan w:val="4"/>
          </w:tcPr>
          <w:p>
            <w:pPr>
              <w:ind w:left="140"/>
              <w:spacing w:after="0"/>
              <w:rPr>
                <w:sz w:val="20"/>
                <w:szCs w:val="20"/>
                <w:color w:val="auto"/>
              </w:rPr>
            </w:pPr>
            <w:r>
              <w:rPr>
                <w:rFonts w:ascii="Arial" w:cs="Arial" w:eastAsia="Arial" w:hAnsi="Arial"/>
                <w:sz w:val="18"/>
                <w:szCs w:val="18"/>
                <w:b w:val="1"/>
                <w:bCs w:val="1"/>
                <w:color w:val="auto"/>
              </w:rPr>
              <w:t>Bonds and notes issued</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This item is made up as follows: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5"/>
          </w:tcPr>
          <w:p>
            <w:pPr>
              <w:ind w:left="2120"/>
              <w:spacing w:after="0"/>
              <w:rPr>
                <w:sz w:val="20"/>
                <w:szCs w:val="20"/>
                <w:color w:val="auto"/>
              </w:rPr>
            </w:pPr>
            <w:r>
              <w:rPr>
                <w:rFonts w:ascii="Arial" w:cs="Arial" w:eastAsia="Arial" w:hAnsi="Arial"/>
                <w:sz w:val="14"/>
                <w:szCs w:val="14"/>
                <w:color w:val="auto"/>
                <w:w w:val="93"/>
              </w:rPr>
              <w:t xml:space="preserve">Weighted </w:t>
            </w:r>
            <w:r>
              <w:rPr>
                <w:rFonts w:ascii="Arial" w:cs="Arial" w:eastAsia="Arial" w:hAnsi="Arial"/>
                <w:sz w:val="14"/>
                <w:szCs w:val="14"/>
                <w:b w:val="1"/>
                <w:bCs w:val="1"/>
                <w:color w:val="auto"/>
                <w:w w:val="93"/>
              </w:rPr>
              <w:t>average annual interest rate</w:t>
            </w:r>
          </w:p>
        </w:tc>
        <w:tc>
          <w:tcPr>
            <w:tcW w:w="25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Maturity</w:t>
            </w: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24"/>
                <w:szCs w:val="24"/>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288"/>
              <w:spacing w:after="0" w:line="130"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6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vMerge w:val="restart"/>
          </w:tcPr>
          <w:p>
            <w:pPr>
              <w:spacing w:after="0"/>
              <w:rPr>
                <w:sz w:val="11"/>
                <w:szCs w:val="11"/>
                <w:color w:val="auto"/>
              </w:rPr>
            </w:pPr>
          </w:p>
        </w:tc>
        <w:tc>
          <w:tcPr>
            <w:tcW w:w="2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Senior notes (vi)</w:t>
            </w:r>
          </w:p>
        </w:tc>
        <w:tc>
          <w:tcPr>
            <w:tcW w:w="580" w:type="dxa"/>
            <w:vAlign w:val="bottom"/>
            <w:shd w:val="clear" w:color="auto" w:fill="CCFFCC"/>
          </w:tcPr>
          <w:p>
            <w:pPr>
              <w:jc w:val="right"/>
              <w:ind w:right="208"/>
              <w:spacing w:after="0" w:line="149" w:lineRule="exact"/>
              <w:rPr>
                <w:sz w:val="20"/>
                <w:szCs w:val="20"/>
                <w:color w:val="auto"/>
              </w:rPr>
            </w:pPr>
            <w:r>
              <w:rPr>
                <w:rFonts w:ascii="Arial" w:cs="Arial" w:eastAsia="Arial" w:hAnsi="Arial"/>
                <w:sz w:val="14"/>
                <w:szCs w:val="14"/>
                <w:color w:val="auto"/>
              </w:rPr>
              <w:t>5.38</w:t>
            </w:r>
          </w:p>
        </w:tc>
        <w:tc>
          <w:tcPr>
            <w:tcW w:w="10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52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September 2020</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796,010</w:t>
            </w: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Corporate bonds</w:t>
            </w:r>
          </w:p>
        </w:tc>
        <w:tc>
          <w:tcPr>
            <w:tcW w:w="5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5.95</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6.04</w:t>
            </w:r>
          </w:p>
        </w:tc>
        <w:tc>
          <w:tcPr>
            <w:tcW w:w="2520" w:type="dxa"/>
            <w:vAlign w:val="bottom"/>
          </w:tcPr>
          <w:p>
            <w:pPr>
              <w:ind w:left="40"/>
              <w:spacing w:after="0" w:line="149" w:lineRule="exact"/>
              <w:rPr>
                <w:sz w:val="20"/>
                <w:szCs w:val="20"/>
                <w:color w:val="auto"/>
              </w:rPr>
            </w:pPr>
            <w:r>
              <w:rPr>
                <w:rFonts w:ascii="Arial" w:cs="Arial" w:eastAsia="Arial" w:hAnsi="Arial"/>
                <w:sz w:val="14"/>
                <w:szCs w:val="14"/>
                <w:color w:val="auto"/>
              </w:rPr>
              <w:t>Between March 2011 and July 2018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425,298</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440,092</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Junior subordinated notes (iii)</w:t>
            </w:r>
          </w:p>
        </w:tc>
        <w:tc>
          <w:tcPr>
            <w:tcW w:w="580" w:type="dxa"/>
            <w:vAlign w:val="bottom"/>
            <w:shd w:val="clear" w:color="auto" w:fill="CCFFCC"/>
          </w:tcPr>
          <w:p>
            <w:pPr>
              <w:jc w:val="right"/>
              <w:ind w:right="208"/>
              <w:spacing w:after="0" w:line="149" w:lineRule="exact"/>
              <w:rPr>
                <w:sz w:val="20"/>
                <w:szCs w:val="20"/>
                <w:color w:val="auto"/>
              </w:rPr>
            </w:pPr>
            <w:r>
              <w:rPr>
                <w:rFonts w:ascii="Arial" w:cs="Arial" w:eastAsia="Arial" w:hAnsi="Arial"/>
                <w:sz w:val="14"/>
                <w:szCs w:val="14"/>
                <w:color w:val="auto"/>
              </w:rPr>
              <w:t>9.75</w:t>
            </w:r>
          </w:p>
        </w:tc>
        <w:tc>
          <w:tcPr>
            <w:tcW w:w="10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9.75</w:t>
            </w:r>
          </w:p>
        </w:tc>
        <w:tc>
          <w:tcPr>
            <w:tcW w:w="252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November 2069</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224,350</w:t>
            </w: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249,700</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notes (iv)</w:t>
            </w:r>
          </w:p>
        </w:tc>
        <w:tc>
          <w:tcPr>
            <w:tcW w:w="5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7.17</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7.17</w:t>
            </w:r>
          </w:p>
        </w:tc>
        <w:tc>
          <w:tcPr>
            <w:tcW w:w="2520" w:type="dxa"/>
            <w:vAlign w:val="bottom"/>
          </w:tcPr>
          <w:p>
            <w:pPr>
              <w:ind w:left="40"/>
              <w:spacing w:after="0" w:line="149" w:lineRule="exact"/>
              <w:rPr>
                <w:sz w:val="20"/>
                <w:szCs w:val="20"/>
                <w:color w:val="auto"/>
              </w:rPr>
            </w:pPr>
            <w:r>
              <w:rPr>
                <w:rFonts w:ascii="Arial" w:cs="Arial" w:eastAsia="Arial" w:hAnsi="Arial"/>
                <w:sz w:val="14"/>
                <w:szCs w:val="14"/>
                <w:color w:val="auto"/>
              </w:rPr>
              <w:t>October 2022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160,239</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154,329</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Subordinated bonds</w:t>
            </w:r>
          </w:p>
        </w:tc>
        <w:tc>
          <w:tcPr>
            <w:tcW w:w="580" w:type="dxa"/>
            <w:vAlign w:val="bottom"/>
            <w:shd w:val="clear" w:color="auto" w:fill="CCFFCC"/>
          </w:tcPr>
          <w:p>
            <w:pPr>
              <w:jc w:val="right"/>
              <w:ind w:right="208"/>
              <w:spacing w:after="0" w:line="149" w:lineRule="exact"/>
              <w:rPr>
                <w:sz w:val="20"/>
                <w:szCs w:val="20"/>
                <w:color w:val="auto"/>
              </w:rPr>
            </w:pPr>
            <w:r>
              <w:rPr>
                <w:rFonts w:ascii="Arial" w:cs="Arial" w:eastAsia="Arial" w:hAnsi="Arial"/>
                <w:sz w:val="14"/>
                <w:szCs w:val="14"/>
                <w:color w:val="auto"/>
              </w:rPr>
              <w:t>7.33</w:t>
            </w:r>
          </w:p>
        </w:tc>
        <w:tc>
          <w:tcPr>
            <w:tcW w:w="10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7.35</w:t>
            </w:r>
          </w:p>
        </w:tc>
        <w:tc>
          <w:tcPr>
            <w:tcW w:w="252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Between October 2012 and May 2027</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136,665</w:t>
            </w: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113,281</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Leasing bonds (ii)</w:t>
            </w:r>
          </w:p>
        </w:tc>
        <w:tc>
          <w:tcPr>
            <w:tcW w:w="58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6.81</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7.11</w:t>
            </w:r>
          </w:p>
        </w:tc>
        <w:tc>
          <w:tcPr>
            <w:tcW w:w="2520" w:type="dxa"/>
            <w:vAlign w:val="bottom"/>
          </w:tcPr>
          <w:p>
            <w:pPr>
              <w:ind w:left="40"/>
              <w:spacing w:after="0" w:line="149" w:lineRule="exact"/>
              <w:rPr>
                <w:sz w:val="20"/>
                <w:szCs w:val="20"/>
                <w:color w:val="auto"/>
              </w:rPr>
            </w:pPr>
            <w:r>
              <w:rPr>
                <w:rFonts w:ascii="Arial" w:cs="Arial" w:eastAsia="Arial" w:hAnsi="Arial"/>
                <w:sz w:val="14"/>
                <w:szCs w:val="14"/>
                <w:color w:val="auto"/>
                <w:w w:val="94"/>
              </w:rPr>
              <w:t>Between February 2011 and August 2018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134,365</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188,265</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Subordinated negotiable</w:t>
            </w:r>
          </w:p>
        </w:tc>
        <w:tc>
          <w:tcPr>
            <w:tcW w:w="58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5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certificates notes (v)</w:t>
            </w:r>
          </w:p>
        </w:tc>
        <w:tc>
          <w:tcPr>
            <w:tcW w:w="580" w:type="dxa"/>
            <w:vAlign w:val="bottom"/>
            <w:shd w:val="clear" w:color="auto" w:fill="CCFFCC"/>
          </w:tcPr>
          <w:p>
            <w:pPr>
              <w:jc w:val="right"/>
              <w:ind w:right="208"/>
              <w:spacing w:after="0"/>
              <w:rPr>
                <w:sz w:val="20"/>
                <w:szCs w:val="20"/>
                <w:color w:val="auto"/>
              </w:rPr>
            </w:pPr>
            <w:r>
              <w:rPr>
                <w:rFonts w:ascii="Arial" w:cs="Arial" w:eastAsia="Arial" w:hAnsi="Arial"/>
                <w:sz w:val="14"/>
                <w:szCs w:val="14"/>
                <w:color w:val="auto"/>
              </w:rPr>
              <w:t>6.95</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6.95</w:t>
            </w:r>
          </w:p>
        </w:tc>
        <w:tc>
          <w:tcPr>
            <w:tcW w:w="2520" w:type="dxa"/>
            <w:vAlign w:val="bottom"/>
            <w:shd w:val="clear" w:color="auto" w:fill="CCFFCC"/>
          </w:tcPr>
          <w:p>
            <w:pPr>
              <w:ind w:left="40"/>
              <w:spacing w:after="0"/>
              <w:rPr>
                <w:sz w:val="20"/>
                <w:szCs w:val="20"/>
                <w:color w:val="auto"/>
              </w:rPr>
            </w:pPr>
            <w:r>
              <w:rPr>
                <w:rFonts w:ascii="Arial" w:cs="Arial" w:eastAsia="Arial" w:hAnsi="Arial"/>
                <w:sz w:val="14"/>
                <w:szCs w:val="14"/>
                <w:color w:val="auto"/>
              </w:rPr>
              <w:t>November 2021</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113,482</w:t>
            </w:r>
          </w:p>
        </w:tc>
        <w:tc>
          <w:tcPr>
            <w:tcW w:w="18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117,560</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Negociable certificates of deposit –</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2"/>
          </w:tcPr>
          <w:p>
            <w:pPr>
              <w:ind w:left="160"/>
              <w:spacing w:after="0"/>
              <w:rPr>
                <w:sz w:val="20"/>
                <w:szCs w:val="20"/>
                <w:color w:val="auto"/>
              </w:rPr>
            </w:pPr>
            <w:r>
              <w:rPr>
                <w:rFonts w:ascii="Arial" w:cs="Arial" w:eastAsia="Arial" w:hAnsi="Arial"/>
                <w:sz w:val="14"/>
                <w:szCs w:val="14"/>
                <w:color w:val="auto"/>
              </w:rPr>
              <w:t>Edyficar</w:t>
            </w:r>
          </w:p>
        </w:tc>
        <w:tc>
          <w:tcPr>
            <w:tcW w:w="580" w:type="dxa"/>
            <w:vAlign w:val="bottom"/>
          </w:tcPr>
          <w:p>
            <w:pPr>
              <w:jc w:val="right"/>
              <w:ind w:right="208"/>
              <w:spacing w:after="0"/>
              <w:rPr>
                <w:sz w:val="20"/>
                <w:szCs w:val="20"/>
                <w:color w:val="auto"/>
              </w:rPr>
            </w:pPr>
            <w:r>
              <w:rPr>
                <w:rFonts w:ascii="Arial" w:cs="Arial" w:eastAsia="Arial" w:hAnsi="Arial"/>
                <w:sz w:val="14"/>
                <w:szCs w:val="14"/>
                <w:color w:val="auto"/>
              </w:rPr>
              <w:t>4.23</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5.96</w:t>
            </w:r>
          </w:p>
        </w:tc>
        <w:tc>
          <w:tcPr>
            <w:tcW w:w="2520" w:type="dxa"/>
            <w:vAlign w:val="bottom"/>
          </w:tcPr>
          <w:p>
            <w:pPr>
              <w:ind w:left="40"/>
              <w:spacing w:after="0"/>
              <w:rPr>
                <w:sz w:val="20"/>
                <w:szCs w:val="20"/>
                <w:color w:val="auto"/>
              </w:rPr>
            </w:pPr>
            <w:r>
              <w:rPr>
                <w:rFonts w:ascii="Arial" w:cs="Arial" w:eastAsia="Arial" w:hAnsi="Arial"/>
                <w:sz w:val="14"/>
                <w:szCs w:val="14"/>
                <w:color w:val="auto"/>
              </w:rPr>
              <w:t>November 2011</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17,077</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Mortgage bonds (ii)</w:t>
            </w:r>
          </w:p>
        </w:tc>
        <w:tc>
          <w:tcPr>
            <w:tcW w:w="580" w:type="dxa"/>
            <w:vAlign w:val="bottom"/>
            <w:shd w:val="clear" w:color="auto" w:fill="CCFFCC"/>
          </w:tcPr>
          <w:p>
            <w:pPr>
              <w:jc w:val="right"/>
              <w:ind w:right="208"/>
              <w:spacing w:after="0" w:line="149" w:lineRule="exact"/>
              <w:rPr>
                <w:sz w:val="20"/>
                <w:szCs w:val="20"/>
                <w:color w:val="auto"/>
              </w:rPr>
            </w:pPr>
            <w:r>
              <w:rPr>
                <w:rFonts w:ascii="Arial" w:cs="Arial" w:eastAsia="Arial" w:hAnsi="Arial"/>
                <w:sz w:val="14"/>
                <w:szCs w:val="14"/>
                <w:color w:val="auto"/>
              </w:rPr>
              <w:t>7.63</w:t>
            </w:r>
          </w:p>
        </w:tc>
        <w:tc>
          <w:tcPr>
            <w:tcW w:w="10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7.67</w:t>
            </w:r>
          </w:p>
        </w:tc>
        <w:tc>
          <w:tcPr>
            <w:tcW w:w="2520" w:type="dxa"/>
            <w:vAlign w:val="bottom"/>
            <w:shd w:val="clear" w:color="auto" w:fill="CCFFCC"/>
          </w:tcPr>
          <w:p>
            <w:pPr>
              <w:ind w:left="40"/>
              <w:spacing w:after="0" w:line="149" w:lineRule="exact"/>
              <w:rPr>
                <w:sz w:val="20"/>
                <w:szCs w:val="20"/>
                <w:color w:val="auto"/>
              </w:rPr>
            </w:pPr>
            <w:r>
              <w:rPr>
                <w:rFonts w:ascii="Arial" w:cs="Arial" w:eastAsia="Arial" w:hAnsi="Arial"/>
                <w:sz w:val="14"/>
                <w:szCs w:val="14"/>
                <w:color w:val="auto"/>
              </w:rPr>
              <w:t>Between January 2011 and April 2012</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4,956</w:t>
            </w: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10,504</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CCR Inc. MT100 – secured notes</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2"/>
          </w:tcPr>
          <w:p>
            <w:pPr>
              <w:ind w:left="160"/>
              <w:spacing w:after="0"/>
              <w:rPr>
                <w:sz w:val="20"/>
                <w:szCs w:val="20"/>
                <w:color w:val="auto"/>
              </w:rPr>
            </w:pPr>
            <w:r>
              <w:rPr>
                <w:rFonts w:ascii="Arial" w:cs="Arial" w:eastAsia="Arial" w:hAnsi="Arial"/>
                <w:sz w:val="14"/>
                <w:szCs w:val="14"/>
                <w:color w:val="auto"/>
              </w:rPr>
              <w:t>(vii)</w:t>
            </w:r>
          </w:p>
        </w:tc>
        <w:tc>
          <w:tcPr>
            <w:tcW w:w="5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520" w:type="dxa"/>
            <w:vAlign w:val="bottom"/>
          </w:tcPr>
          <w:p>
            <w:pPr>
              <w:ind w:left="40"/>
              <w:spacing w:after="0"/>
              <w:rPr>
                <w:sz w:val="20"/>
                <w:szCs w:val="20"/>
                <w:color w:val="auto"/>
              </w:rPr>
            </w:pPr>
            <w:r>
              <w:rPr>
                <w:rFonts w:ascii="Arial" w:cs="Arial" w:eastAsia="Arial" w:hAnsi="Arial"/>
                <w:sz w:val="14"/>
                <w:szCs w:val="14"/>
                <w:color w:val="auto"/>
              </w:rPr>
              <w:t>Between October 2012 and July 2017</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963,225</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1,089,221</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2,975,667</w:t>
            </w:r>
          </w:p>
        </w:tc>
        <w:tc>
          <w:tcPr>
            <w:tcW w:w="1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2,369,483</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payable</w:t>
            </w:r>
          </w:p>
        </w:tc>
        <w:tc>
          <w:tcPr>
            <w:tcW w:w="580" w:type="dxa"/>
            <w:vAlign w:val="bottom"/>
            <w:shd w:val="clear" w:color="auto" w:fill="CCFFCC"/>
          </w:tcPr>
          <w:p>
            <w:pPr>
              <w:spacing w:after="0"/>
              <w:rPr>
                <w:sz w:val="13"/>
                <w:szCs w:val="13"/>
                <w:color w:val="auto"/>
              </w:rPr>
            </w:pPr>
          </w:p>
        </w:tc>
        <w:tc>
          <w:tcPr>
            <w:tcW w:w="9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520" w:type="dxa"/>
            <w:vAlign w:val="bottom"/>
            <w:shd w:val="clear" w:color="auto" w:fill="CCFFCC"/>
          </w:tcPr>
          <w:p>
            <w:pPr>
              <w:spacing w:after="0"/>
              <w:rPr>
                <w:sz w:val="13"/>
                <w:szCs w:val="13"/>
                <w:color w:val="auto"/>
              </w:rPr>
            </w:pP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26,031</w:t>
            </w: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13,490</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2120" w:type="dxa"/>
            <w:vAlign w:val="bottom"/>
            <w:tcBorders>
              <w:top w:val="single" w:sz="8" w:color="CCFFCC"/>
            </w:tcBorders>
          </w:tcPr>
          <w:p>
            <w:pPr>
              <w:spacing w:after="0"/>
              <w:rPr>
                <w:sz w:val="12"/>
                <w:szCs w:val="12"/>
                <w:color w:val="auto"/>
              </w:rPr>
            </w:pPr>
          </w:p>
        </w:tc>
        <w:tc>
          <w:tcPr>
            <w:tcW w:w="720" w:type="dxa"/>
            <w:vAlign w:val="bottom"/>
            <w:tcBorders>
              <w:top w:val="single" w:sz="8" w:color="CCFFCC"/>
            </w:tcBorders>
          </w:tcPr>
          <w:p>
            <w:pPr>
              <w:spacing w:after="0"/>
              <w:rPr>
                <w:sz w:val="12"/>
                <w:szCs w:val="12"/>
                <w:color w:val="auto"/>
              </w:rPr>
            </w:pPr>
          </w:p>
        </w:tc>
        <w:tc>
          <w:tcPr>
            <w:tcW w:w="580" w:type="dxa"/>
            <w:vAlign w:val="bottom"/>
            <w:tcBorders>
              <w:top w:val="single" w:sz="8" w:color="CCFFCC"/>
            </w:tcBorders>
          </w:tcPr>
          <w:p>
            <w:pPr>
              <w:spacing w:after="0"/>
              <w:rPr>
                <w:sz w:val="12"/>
                <w:szCs w:val="12"/>
                <w:color w:val="auto"/>
              </w:rPr>
            </w:pPr>
          </w:p>
        </w:tc>
        <w:tc>
          <w:tcPr>
            <w:tcW w:w="9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2520" w:type="dxa"/>
            <w:vAlign w:val="bottom"/>
            <w:tcBorders>
              <w:top w:val="single" w:sz="8" w:color="CCFFC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w:t>
            </w:r>
          </w:p>
        </w:tc>
        <w:tc>
          <w:tcPr>
            <w:tcW w:w="58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3,001,698</w:t>
            </w:r>
          </w:p>
        </w:tc>
        <w:tc>
          <w:tcPr>
            <w:tcW w:w="18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2,382,973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tabs>
          <w:tab w:leader="none" w:pos="1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During 2010 and 2009, the Group made the following debt issuances:</w:t>
      </w:r>
    </w:p>
    <w:p>
      <w:pPr>
        <w:spacing w:after="0" w:line="221" w:lineRule="exact"/>
        <w:rPr>
          <w:sz w:val="20"/>
          <w:szCs w:val="20"/>
          <w:color w:val="auto"/>
        </w:rPr>
      </w:pPr>
    </w:p>
    <w:tbl>
      <w:tblPr>
        <w:tblLayout w:type="fixed"/>
        <w:tblInd w:w="1800" w:type="dxa"/>
        <w:tblCellMar>
          <w:top w:w="0" w:type="dxa"/>
          <w:left w:w="0" w:type="dxa"/>
          <w:bottom w:w="0" w:type="dxa"/>
          <w:right w:w="0" w:type="dxa"/>
        </w:tblCellMar>
      </w:tblPr>
      <w:tr>
        <w:trPr>
          <w:trHeight w:val="220"/>
        </w:trPr>
        <w:tc>
          <w:tcPr>
            <w:tcW w:w="4080" w:type="dxa"/>
            <w:vAlign w:val="bottom"/>
          </w:tcPr>
          <w:p>
            <w:pPr>
              <w:spacing w:after="0"/>
              <w:rPr>
                <w:sz w:val="20"/>
                <w:szCs w:val="20"/>
                <w:color w:val="auto"/>
              </w:rPr>
            </w:pPr>
            <w:r>
              <w:rPr>
                <w:rFonts w:ascii="Arial" w:cs="Arial" w:eastAsia="Arial" w:hAnsi="Arial"/>
                <w:sz w:val="18"/>
                <w:szCs w:val="18"/>
                <w:b w:val="1"/>
                <w:bCs w:val="1"/>
                <w:color w:val="auto"/>
              </w:rPr>
              <w:t>Issuances 2010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Currency Maturity</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Rate</w:t>
            </w:r>
          </w:p>
        </w:tc>
      </w:tr>
      <w:tr>
        <w:trPr>
          <w:trHeight w:val="230"/>
        </w:trPr>
        <w:tc>
          <w:tcPr>
            <w:tcW w:w="40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US$(000)</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Senior notes BCP -</w:t>
            </w: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First issuance (vi)</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w:t>
            </w: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1"/>
              </w:rPr>
              <w:t>US$</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40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Negotiable certificates of deposit – Edyficar</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Third issuance – First program</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17,077</w:t>
            </w:r>
          </w:p>
        </w:tc>
        <w:tc>
          <w:tcPr>
            <w:tcW w:w="1040" w:type="dxa"/>
            <w:vAlign w:val="bottom"/>
            <w:tcBorders>
              <w:bottom w:val="single" w:sz="8" w:color="CCFFCC"/>
            </w:tcBorders>
            <w:shd w:val="clear" w:color="auto" w:fill="CCFFCC"/>
          </w:tcPr>
          <w:p>
            <w:pPr>
              <w:jc w:val="center"/>
              <w:ind w:right="70"/>
              <w:spacing w:after="0"/>
              <w:rPr>
                <w:sz w:val="20"/>
                <w:szCs w:val="20"/>
                <w:color w:val="auto"/>
              </w:rPr>
            </w:pPr>
            <w:r>
              <w:rPr>
                <w:rFonts w:ascii="Arial" w:cs="Arial" w:eastAsia="Arial" w:hAnsi="Arial"/>
                <w:sz w:val="18"/>
                <w:szCs w:val="18"/>
                <w:color w:val="auto"/>
                <w:w w:val="91"/>
              </w:rPr>
              <w:t>US$</w:t>
            </w:r>
          </w:p>
        </w:tc>
        <w:tc>
          <w:tcPr>
            <w:tcW w:w="7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2011</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Issuances 2009</w:t>
            </w: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Subordinated notes BCP -</w:t>
            </w: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Junior Subordinated Notes -BCP (iii)</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91"/>
              </w:rPr>
              <w:t>US$</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2069</w:t>
            </w:r>
          </w:p>
        </w:tc>
        <w:tc>
          <w:tcPr>
            <w:tcW w:w="1020" w:type="dxa"/>
            <w:vAlign w:val="bottom"/>
          </w:tcPr>
          <w:p>
            <w:pPr>
              <w:jc w:val="right"/>
              <w:spacing w:after="0"/>
              <w:rPr>
                <w:sz w:val="20"/>
                <w:szCs w:val="20"/>
                <w:color w:val="auto"/>
              </w:rPr>
            </w:pPr>
            <w:r>
              <w:rPr>
                <w:rFonts w:ascii="Arial" w:cs="Arial" w:eastAsia="Arial" w:hAnsi="Arial"/>
                <w:sz w:val="18"/>
                <w:szCs w:val="18"/>
                <w:color w:val="auto"/>
              </w:rPr>
              <w:t>9.75</w:t>
            </w:r>
          </w:p>
        </w:tc>
      </w:tr>
      <w:tr>
        <w:trPr>
          <w:trHeight w:val="216"/>
        </w:trPr>
        <w:tc>
          <w:tcPr>
            <w:tcW w:w="40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Corporate Bonds BCP -</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Fourth issuance - Series A, B, C and D</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63,465</w:t>
            </w:r>
          </w:p>
        </w:tc>
        <w:tc>
          <w:tcPr>
            <w:tcW w:w="10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2"/>
              </w:rPr>
              <w:t>Nuevo sol</w:t>
            </w:r>
          </w:p>
        </w:tc>
        <w:tc>
          <w:tcPr>
            <w:tcW w:w="7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6.31 - 6.88</w:t>
            </w: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Fifth issuance – Series 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17,301</w:t>
            </w: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2"/>
              </w:rPr>
              <w:t>Nuevo sol</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2013</w:t>
            </w:r>
          </w:p>
        </w:tc>
        <w:tc>
          <w:tcPr>
            <w:tcW w:w="102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40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23"/>
        </w:trPr>
        <w:tc>
          <w:tcPr>
            <w:tcW w:w="40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80,766</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40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Subordinated Bonds BCP -</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4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Fourth issuance - Series A, B, C and D</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113,822</w:t>
            </w:r>
          </w:p>
        </w:tc>
        <w:tc>
          <w:tcPr>
            <w:tcW w:w="1040" w:type="dxa"/>
            <w:vAlign w:val="bottom"/>
            <w:tcBorders>
              <w:bottom w:val="single" w:sz="8" w:color="CCFFCC"/>
            </w:tcBorders>
            <w:shd w:val="clear" w:color="auto" w:fill="CCFFCC"/>
          </w:tcPr>
          <w:p>
            <w:pPr>
              <w:jc w:val="center"/>
              <w:ind w:right="70"/>
              <w:spacing w:after="0"/>
              <w:rPr>
                <w:sz w:val="20"/>
                <w:szCs w:val="20"/>
                <w:color w:val="auto"/>
              </w:rPr>
            </w:pPr>
            <w:r>
              <w:rPr>
                <w:rFonts w:ascii="Arial" w:cs="Arial" w:eastAsia="Arial" w:hAnsi="Arial"/>
                <w:sz w:val="18"/>
                <w:szCs w:val="18"/>
                <w:color w:val="auto"/>
                <w:w w:val="91"/>
              </w:rPr>
              <w:t>US$</w:t>
            </w:r>
          </w:p>
        </w:tc>
        <w:tc>
          <w:tcPr>
            <w:tcW w:w="7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2016</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6.53 – 8.50</w:t>
            </w:r>
          </w:p>
        </w:tc>
      </w:tr>
      <w:tr>
        <w:trPr>
          <w:trHeight w:val="216"/>
        </w:trPr>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9"/>
              </w:rPr>
              <w:t>Corporate Bonds BCP Emisiones Latam 1 S.A. -</w:t>
            </w:r>
          </w:p>
        </w:tc>
        <w:tc>
          <w:tcPr>
            <w:tcW w:w="7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First issuance – Series A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111,508</w:t>
            </w: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UF</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2014</w:t>
            </w: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202" w:lineRule="exact"/>
        <w:rPr>
          <w:sz w:val="20"/>
          <w:szCs w:val="20"/>
          <w:color w:val="auto"/>
        </w:rPr>
      </w:pPr>
    </w:p>
    <w:p>
      <w:pPr>
        <w:ind w:left="2280" w:hanging="489"/>
        <w:spacing w:after="0" w:line="273" w:lineRule="auto"/>
        <w:tabs>
          <w:tab w:leader="none" w:pos="22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BCP Emisiones Latam 1 S.A., issued corporate bonds (Series A) denominated in “Chilean Unidades de Fomento – UF” for UF 2.7 million. The Group can redeem 100 percent of the bonds only if the legal reserve funds legislation and tax law, related to income tax and value added tax change in Peru, Panama or Chile. As of December 31, 2010 and 2009, the balance amounts to US$123.9 million and US$111.5 million, respectively. This debt, subject to foreign exchange risk, has been hedged through cross currency swaps (CCS) for a notional amount equal to the principal and with the same maturity, see note 11(b); as a result, these bonds were economically converted to US$ Dollars.</w:t>
      </w:r>
    </w:p>
    <w:p>
      <w:pPr>
        <w:spacing w:after="0" w:line="178" w:lineRule="exact"/>
        <w:rPr>
          <w:sz w:val="20"/>
          <w:szCs w:val="20"/>
          <w:color w:val="auto"/>
        </w:rPr>
      </w:pPr>
    </w:p>
    <w:p>
      <w:pPr>
        <w:ind w:left="1800" w:right="500"/>
        <w:spacing w:after="0" w:line="258" w:lineRule="auto"/>
        <w:rPr>
          <w:sz w:val="20"/>
          <w:szCs w:val="20"/>
          <w:color w:val="auto"/>
        </w:rPr>
      </w:pPr>
      <w:r>
        <w:rPr>
          <w:rFonts w:ascii="Arial" w:cs="Arial" w:eastAsia="Arial" w:hAnsi="Arial"/>
          <w:sz w:val="18"/>
          <w:szCs w:val="18"/>
          <w:color w:val="auto"/>
        </w:rPr>
        <w:t>During 2010, redeemed corporate and leasing bonds amounted to US$37.1 million and US$55.3 million, respectively (US$6.9 million and US$34.6 million, respectively, during 2009).</w:t>
      </w:r>
    </w:p>
    <w:p>
      <w:pPr>
        <w:spacing w:after="0" w:line="1" w:lineRule="exact"/>
        <w:rPr>
          <w:sz w:val="20"/>
          <w:szCs w:val="20"/>
          <w:color w:val="auto"/>
        </w:rPr>
      </w:pPr>
    </w:p>
    <w:p>
      <w:pPr>
        <w:ind w:left="1800" w:right="20"/>
        <w:spacing w:after="0" w:line="273" w:lineRule="auto"/>
        <w:rPr>
          <w:sz w:val="20"/>
          <w:szCs w:val="20"/>
          <w:color w:val="auto"/>
        </w:rPr>
      </w:pPr>
      <w:r>
        <w:rPr>
          <w:rFonts w:ascii="Arial" w:cs="Arial" w:eastAsia="Arial" w:hAnsi="Arial"/>
          <w:sz w:val="17"/>
          <w:szCs w:val="17"/>
          <w:color w:val="auto"/>
        </w:rPr>
        <w:t>As of December 31, 2010 and 2009, the Group has hedged fix corporate and leasing bonds issued in Peruvian currency for a notional amount of US$113.4 million and US$15.7 million, respectively, subject to foreign exchange and variable interest risks. The corporate bonds have been hedged through CCS and IRS, and leasing bonds through CSS; bonds were economically converted to U.S. Dollars at fix rate, see note 11(b). CCS and IRS have maturities between April 2011 and March 2015.</w:t>
      </w:r>
    </w:p>
    <w:p>
      <w:pPr>
        <w:spacing w:after="0" w:line="177" w:lineRule="exact"/>
        <w:rPr>
          <w:sz w:val="20"/>
          <w:szCs w:val="20"/>
          <w:color w:val="auto"/>
        </w:rPr>
      </w:pPr>
    </w:p>
    <w:p>
      <w:pPr>
        <w:ind w:left="1800" w:hanging="658"/>
        <w:spacing w:after="0"/>
        <w:tabs>
          <w:tab w:leader="none" w:pos="18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800" w:right="100" w:hanging="658"/>
        <w:spacing w:after="0" w:line="293" w:lineRule="auto"/>
        <w:tabs>
          <w:tab w:leader="none" w:pos="18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November 2009, BCP through its Panama branch issued Junior Subordinated Notes for US$250.0 million in the international market with principal maturity on 2069. This debt accrues a fixed annual interest rate of 9.75 percent for the first 10 years, with semiannual payments. After the first 10 years, in November 2019, interest rate will be Libor 3 months plus 816.7 basis points, with quarterly payments; at that date and or any interest payment date, BCP can redeem 100 percent of the notes, without penalties and after fulfilling certain requirements. As of December 31, 2010 Credicorp Ltd. and PPS holds US$22.5 and US$3.1 million of said notes which were eliminated for consolidation purposes, respectively (as of December 31, 2009, only PPS holds US$0.3 million).</w:t>
      </w:r>
    </w:p>
    <w:p>
      <w:pPr>
        <w:spacing w:after="0" w:line="164" w:lineRule="exact"/>
        <w:rPr>
          <w:rFonts w:ascii="Arial" w:cs="Arial" w:eastAsia="Arial" w:hAnsi="Arial"/>
          <w:sz w:val="16"/>
          <w:szCs w:val="16"/>
          <w:color w:val="auto"/>
        </w:rPr>
      </w:pPr>
    </w:p>
    <w:p>
      <w:pPr>
        <w:ind w:left="1800"/>
        <w:spacing w:after="0" w:line="297" w:lineRule="auto"/>
        <w:rPr>
          <w:rFonts w:ascii="Arial" w:cs="Arial" w:eastAsia="Arial" w:hAnsi="Arial"/>
          <w:sz w:val="16"/>
          <w:szCs w:val="16"/>
          <w:color w:val="auto"/>
        </w:rPr>
      </w:pPr>
      <w:r>
        <w:rPr>
          <w:rFonts w:ascii="Arial" w:cs="Arial" w:eastAsia="Arial" w:hAnsi="Arial"/>
          <w:sz w:val="16"/>
          <w:szCs w:val="16"/>
          <w:color w:val="auto"/>
        </w:rPr>
        <w:t>Interest payments are non-cumulative such that, if an interest payment is not made in full or cancelled as set forth due to: BCP’s rights to cancel interest payments, a mandatory prohibition established by SBS, or if the SBS determines that BCP is in non-compliance with applicable minimum regulatory capital; the unpaid interest will not accrue or be due nor payable at any time and shall not constitute an acceleration event. In those cases, BCP will not, and will not cause its majority owned subsidiaries to declare, pay or distribute a dividend for a period of time established since the interest payments are not cancelled.</w:t>
      </w:r>
    </w:p>
    <w:p>
      <w:pPr>
        <w:spacing w:after="0" w:line="158"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This debt does not have collateral and qualifies as Tier 1 capital for SBS regulations.</w:t>
      </w:r>
    </w:p>
    <w:p>
      <w:pPr>
        <w:spacing w:after="0" w:line="225" w:lineRule="exact"/>
        <w:rPr>
          <w:rFonts w:ascii="Arial" w:cs="Arial" w:eastAsia="Arial" w:hAnsi="Arial"/>
          <w:sz w:val="16"/>
          <w:szCs w:val="16"/>
          <w:color w:val="auto"/>
        </w:rPr>
      </w:pPr>
    </w:p>
    <w:p>
      <w:pPr>
        <w:ind w:left="1800" w:right="60" w:hanging="658"/>
        <w:spacing w:after="0" w:line="257" w:lineRule="auto"/>
        <w:tabs>
          <w:tab w:leader="none" w:pos="18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October 2007, BCP through its Panama branch issued Subordinated Notes for S/.483.3 million in the international market with principal maturity on 2022. This debt accrues a fixed annual interest rate of 7.17 percent for the first 10 years, with semiannual payments. After the first 10 years, interest rate will be the market interest rate for sovereign bonds issued by the Peruvian Government with maturity on 2037, plus 150 basis points, with semiannual payments. At that date, BCP can redeem 100 percent of the notes, without penalties.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800"/>
        <w:spacing w:after="0" w:line="276" w:lineRule="auto"/>
        <w:rPr>
          <w:sz w:val="20"/>
          <w:szCs w:val="20"/>
          <w:color w:val="auto"/>
        </w:rPr>
      </w:pPr>
      <w:r>
        <w:rPr>
          <w:rFonts w:ascii="Arial" w:cs="Arial" w:eastAsia="Arial" w:hAnsi="Arial"/>
          <w:sz w:val="17"/>
          <w:szCs w:val="17"/>
          <w:color w:val="auto"/>
        </w:rPr>
        <w:t>Cash flow of this debt, subject to foreign exchange risk and interest rate risk, were hedged, until October 2009 through CCS and IRS, note 11(b); at that date, the Group discontinued prospectively the combined cash flow hedge of CCS and IRS through their unwinding. The cumulative gain from the fair value of these hedging instruments amounting to US$5.1 and US$6.6 million, respectively, previously recognized in the consolidated statements of comprehensive income, is being recognized in the consolidated income statement during the remaining term of the hedged liability (subordinated notes), see note 11(b)(ii).</w:t>
      </w:r>
    </w:p>
    <w:p>
      <w:pPr>
        <w:spacing w:after="0" w:line="173" w:lineRule="exact"/>
        <w:rPr>
          <w:sz w:val="20"/>
          <w:szCs w:val="20"/>
          <w:color w:val="auto"/>
        </w:rPr>
      </w:pPr>
    </w:p>
    <w:p>
      <w:pPr>
        <w:ind w:left="1800" w:right="60" w:hanging="658"/>
        <w:spacing w:after="0" w:line="259" w:lineRule="auto"/>
        <w:tabs>
          <w:tab w:leader="none" w:pos="18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These certificates were issued in U.S. Dollars and accrue a fixed annual interest rate of 6.95 percent for the first 10 years (November 2016), with payment each six months. After the first 10 years, the interest rate will change to a variable interest rate, established as Libor plus 2.79 percent, with semiannual payments. At the end of the first 10 years, the Group can redeem 100 percent of the debt, without penalties.</w:t>
      </w:r>
    </w:p>
    <w:p>
      <w:pPr>
        <w:spacing w:after="0" w:line="186" w:lineRule="exact"/>
        <w:rPr>
          <w:rFonts w:ascii="Arial" w:cs="Arial" w:eastAsia="Arial" w:hAnsi="Arial"/>
          <w:sz w:val="18"/>
          <w:szCs w:val="18"/>
          <w:color w:val="auto"/>
        </w:rPr>
      </w:pPr>
    </w:p>
    <w:p>
      <w:pPr>
        <w:ind w:left="1800" w:right="900" w:hanging="658"/>
        <w:spacing w:after="0" w:line="342" w:lineRule="auto"/>
        <w:tabs>
          <w:tab w:leader="none" w:pos="18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senior bonds have maturities in September 2020 and bear interests at an annual fixed rate of 5.38 percent, payable in semesters. Principal will be paid at maturity date or when the Group decides to redeem the senior bonds.</w:t>
      </w:r>
    </w:p>
    <w:p>
      <w:pPr>
        <w:spacing w:after="0" w:line="123" w:lineRule="exact"/>
        <w:rPr>
          <w:rFonts w:ascii="Arial" w:cs="Arial" w:eastAsia="Arial" w:hAnsi="Arial"/>
          <w:sz w:val="16"/>
          <w:szCs w:val="16"/>
          <w:color w:val="auto"/>
        </w:rPr>
      </w:pPr>
    </w:p>
    <w:p>
      <w:pPr>
        <w:ind w:left="1800" w:right="280" w:hanging="658"/>
        <w:spacing w:after="0" w:line="286" w:lineRule="auto"/>
        <w:tabs>
          <w:tab w:leader="none" w:pos="18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All issuances are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This item is made up as follows:</w:t>
            </w: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7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60" w:type="dxa"/>
            <w:vAlign w:val="bottom"/>
            <w:gridSpan w:val="2"/>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CCR Inc. MT-100, Payment rights</w:t>
            </w:r>
          </w:p>
        </w:tc>
        <w:tc>
          <w:tcPr>
            <w:tcW w:w="17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master Trust -</w:t>
            </w:r>
          </w:p>
        </w:tc>
        <w:tc>
          <w:tcPr>
            <w:tcW w:w="172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2005</w:t>
            </w:r>
          </w:p>
        </w:tc>
        <w:tc>
          <w:tcPr>
            <w:tcW w:w="2680" w:type="dxa"/>
            <w:vAlign w:val="bottom"/>
          </w:tcPr>
          <w:p>
            <w:pPr>
              <w:ind w:left="20"/>
              <w:spacing w:after="0"/>
              <w:rPr>
                <w:sz w:val="20"/>
                <w:szCs w:val="20"/>
                <w:color w:val="auto"/>
              </w:rPr>
            </w:pPr>
            <w:r>
              <w:rPr>
                <w:rFonts w:ascii="Arial" w:cs="Arial" w:eastAsia="Arial" w:hAnsi="Arial"/>
                <w:sz w:val="18"/>
                <w:szCs w:val="18"/>
                <w:color w:val="auto"/>
                <w:w w:val="95"/>
              </w:rPr>
              <w:t>Series A Floating Rate Certificates</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Libor 1m + 21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10/10/2012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43,105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2006</w:t>
            </w:r>
          </w:p>
        </w:tc>
        <w:tc>
          <w:tcPr>
            <w:tcW w:w="26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Series A Floating Rate Certificates</w:t>
            </w: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Libor 1m + 24 bps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10/03/2016</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31,851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2680" w:type="dxa"/>
            <w:vAlign w:val="bottom"/>
          </w:tcPr>
          <w:p>
            <w:pPr>
              <w:ind w:left="20"/>
              <w:spacing w:after="0"/>
              <w:rPr>
                <w:sz w:val="20"/>
                <w:szCs w:val="20"/>
                <w:color w:val="auto"/>
              </w:rPr>
            </w:pPr>
            <w:r>
              <w:rPr>
                <w:rFonts w:ascii="Arial" w:cs="Arial" w:eastAsia="Arial" w:hAnsi="Arial"/>
                <w:sz w:val="18"/>
                <w:szCs w:val="18"/>
                <w:color w:val="auto"/>
                <w:w w:val="95"/>
              </w:rPr>
              <w:t>Series A Floating Rate Certificates</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Libor 1m + 28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10/07/2017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2007</w:t>
            </w:r>
          </w:p>
        </w:tc>
        <w:tc>
          <w:tcPr>
            <w:tcW w:w="26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Series B Floating Rate Certificates</w:t>
            </w: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Libor 1m + 25 bps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10/07/2014</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2680" w:type="dxa"/>
            <w:vAlign w:val="bottom"/>
          </w:tcPr>
          <w:p>
            <w:pPr>
              <w:ind w:left="20"/>
              <w:spacing w:after="0"/>
              <w:rPr>
                <w:sz w:val="20"/>
                <w:szCs w:val="20"/>
                <w:color w:val="auto"/>
              </w:rPr>
            </w:pPr>
            <w:r>
              <w:rPr>
                <w:rFonts w:ascii="Arial" w:cs="Arial" w:eastAsia="Arial" w:hAnsi="Arial"/>
                <w:sz w:val="18"/>
                <w:szCs w:val="18"/>
                <w:color w:val="auto"/>
              </w:rPr>
              <w:t>Series A Fixed Rate Certificates</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6.27</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10/06/2015</w:t>
            </w:r>
          </w:p>
        </w:tc>
        <w:tc>
          <w:tcPr>
            <w:tcW w:w="980" w:type="dxa"/>
            <w:vAlign w:val="bottom"/>
          </w:tcPr>
          <w:p>
            <w:pPr>
              <w:jc w:val="right"/>
              <w:spacing w:after="0"/>
              <w:rPr>
                <w:sz w:val="20"/>
                <w:szCs w:val="20"/>
                <w:color w:val="auto"/>
              </w:rPr>
            </w:pPr>
            <w:r>
              <w:rPr>
                <w:rFonts w:ascii="Arial" w:cs="Arial" w:eastAsia="Arial" w:hAnsi="Arial"/>
                <w:sz w:val="18"/>
                <w:szCs w:val="18"/>
                <w:color w:val="auto"/>
              </w:rPr>
              <w:t>108,523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126,111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2008</w:t>
            </w:r>
          </w:p>
        </w:tc>
        <w:tc>
          <w:tcPr>
            <w:tcW w:w="26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Series B Floating Rate Certificates</w:t>
            </w: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Libor 1m + 225 bps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10/12/2015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147,500</w:t>
            </w:r>
          </w:p>
        </w:tc>
        <w:tc>
          <w:tcPr>
            <w:tcW w:w="1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2680" w:type="dxa"/>
            <w:vAlign w:val="bottom"/>
          </w:tcPr>
          <w:p>
            <w:pPr>
              <w:ind w:left="20"/>
              <w:spacing w:after="0"/>
              <w:rPr>
                <w:sz w:val="20"/>
                <w:szCs w:val="20"/>
                <w:color w:val="auto"/>
              </w:rPr>
            </w:pPr>
            <w:r>
              <w:rPr>
                <w:rFonts w:ascii="Arial" w:cs="Arial" w:eastAsia="Arial" w:hAnsi="Arial"/>
                <w:sz w:val="18"/>
                <w:szCs w:val="18"/>
                <w:color w:val="auto"/>
                <w:w w:val="95"/>
              </w:rPr>
              <w:t>Series A Floating Rate Certificates</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Libor 1m + 47.5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10/10/2012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98,526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2010</w:t>
            </w:r>
          </w:p>
        </w:tc>
        <w:tc>
          <w:tcPr>
            <w:tcW w:w="268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Series B Floating Rate Certificates</w:t>
            </w:r>
          </w:p>
        </w:tc>
        <w:tc>
          <w:tcPr>
            <w:tcW w:w="17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Libor 1m + 57.6 bps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10/03/2016</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59,153</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2680" w:type="dxa"/>
            <w:vAlign w:val="bottom"/>
          </w:tcPr>
          <w:p>
            <w:pPr>
              <w:ind w:left="20"/>
              <w:spacing w:after="0"/>
              <w:rPr>
                <w:sz w:val="20"/>
                <w:szCs w:val="20"/>
                <w:color w:val="auto"/>
              </w:rPr>
            </w:pPr>
            <w:r>
              <w:rPr>
                <w:rFonts w:ascii="Arial" w:cs="Arial" w:eastAsia="Arial" w:hAnsi="Arial"/>
                <w:sz w:val="18"/>
                <w:szCs w:val="18"/>
                <w:color w:val="auto"/>
                <w:w w:val="95"/>
              </w:rPr>
              <w:t>Series C Floating Rate Certificates</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Libor 1m + 44.5 bps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10/07/2017</w:t>
            </w:r>
          </w:p>
        </w:tc>
        <w:tc>
          <w:tcPr>
            <w:tcW w:w="980" w:type="dxa"/>
            <w:vAlign w:val="bottom"/>
          </w:tcPr>
          <w:p>
            <w:pPr>
              <w:jc w:val="right"/>
              <w:spacing w:after="0"/>
              <w:rPr>
                <w:sz w:val="20"/>
                <w:szCs w:val="20"/>
                <w:color w:val="auto"/>
              </w:rPr>
            </w:pPr>
            <w:r>
              <w:rPr>
                <w:rFonts w:ascii="Arial" w:cs="Arial" w:eastAsia="Arial" w:hAnsi="Arial"/>
                <w:sz w:val="18"/>
                <w:szCs w:val="18"/>
                <w:color w:val="auto"/>
              </w:rPr>
              <w:t>338,803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w w:val="89"/>
              </w:rPr>
              <w:t>2010</w:t>
            </w:r>
          </w:p>
        </w:tc>
        <w:tc>
          <w:tcPr>
            <w:tcW w:w="26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w w:val="95"/>
              </w:rPr>
              <w:t>Series D Floating Rate Certificates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2"/>
              </w:rPr>
              <w:t>Libor 1m + 36.1 bps</w:t>
            </w:r>
          </w:p>
        </w:tc>
        <w:tc>
          <w:tcPr>
            <w:tcW w:w="10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0"/>
              </w:rPr>
              <w:t>10/07/2014</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135,764</w:t>
            </w:r>
          </w:p>
        </w:tc>
        <w:tc>
          <w:tcPr>
            <w:tcW w:w="14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83"/>
              </w:rPr>
              <w:t>Total</w:t>
            </w:r>
          </w:p>
        </w:tc>
        <w:tc>
          <w:tcPr>
            <w:tcW w:w="2680" w:type="dxa"/>
            <w:vAlign w:val="bottom"/>
            <w:tcBorders>
              <w:bottom w:val="single" w:sz="8" w:color="CCFFCC"/>
            </w:tcBorders>
            <w:shd w:val="clear" w:color="auto" w:fill="CCFFCC"/>
          </w:tcPr>
          <w:p>
            <w:pPr>
              <w:spacing w:after="0"/>
              <w:rPr>
                <w:sz w:val="22"/>
                <w:szCs w:val="22"/>
                <w:color w:val="auto"/>
              </w:rPr>
            </w:pPr>
          </w:p>
        </w:tc>
        <w:tc>
          <w:tcPr>
            <w:tcW w:w="17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963,225</w:t>
            </w:r>
          </w:p>
        </w:tc>
        <w:tc>
          <w:tcPr>
            <w:tcW w:w="14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1,089,221</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spacing w:after="0" w:line="259" w:lineRule="auto"/>
        <w:rPr>
          <w:sz w:val="20"/>
          <w:szCs w:val="20"/>
          <w:color w:val="auto"/>
        </w:rPr>
      </w:pPr>
      <w:r>
        <w:rPr>
          <w:rFonts w:ascii="Arial" w:cs="Arial" w:eastAsia="Arial" w:hAnsi="Arial"/>
          <w:sz w:val="18"/>
          <w:szCs w:val="18"/>
          <w:color w:val="auto"/>
        </w:rPr>
        <w:t>The 2005-A, 2006-A, 2007-A and 2007-B notes were issued with a financial guaranty insurance policy from AMBAC Assurance Corporation (“AMBAC”), which secured the timely payment of scheduled principal and certain accrued interest. In 2010 and in order to terminate the financial guaranty insurance policy from AMBAC, BCP made an exchange offer to holders of these notes, whereby the balance existing notes were replaced by new notes with similar terms and maturities.</w:t>
      </w:r>
    </w:p>
    <w:p>
      <w:pPr>
        <w:spacing w:after="0" w:line="187" w:lineRule="exact"/>
        <w:rPr>
          <w:sz w:val="20"/>
          <w:szCs w:val="20"/>
          <w:color w:val="auto"/>
        </w:rPr>
      </w:pPr>
    </w:p>
    <w:p>
      <w:pPr>
        <w:ind w:left="1620" w:right="180"/>
        <w:spacing w:after="0" w:line="277" w:lineRule="auto"/>
        <w:rPr>
          <w:sz w:val="20"/>
          <w:szCs w:val="20"/>
          <w:color w:val="auto"/>
        </w:rPr>
      </w:pPr>
      <w:r>
        <w:rPr>
          <w:rFonts w:ascii="Arial" w:cs="Arial" w:eastAsia="Arial" w:hAnsi="Arial"/>
          <w:sz w:val="18"/>
          <w:szCs w:val="18"/>
          <w:color w:val="auto"/>
        </w:rPr>
        <w:t>As of December 31, 2010 and 2009 all issuances subject to variable interest rates were hedged through interest rate swaps (IRS); as a result they were economically converted to fix rate, see note 11(b).</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Bonds and notes issued, classified by maturity are shown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900" w:type="dxa"/>
            <w:vAlign w:val="bottom"/>
            <w:gridSpan w:val="4"/>
          </w:tcPr>
          <w:p>
            <w:pPr>
              <w:jc w:val="right"/>
              <w:ind w:right="140"/>
              <w:spacing w:after="0"/>
              <w:rPr>
                <w:sz w:val="20"/>
                <w:szCs w:val="20"/>
                <w:color w:val="auto"/>
              </w:rPr>
            </w:pPr>
            <w:r>
              <w:rPr>
                <w:rFonts w:ascii="Arial" w:cs="Arial" w:eastAsia="Arial" w:hAnsi="Arial"/>
                <w:sz w:val="18"/>
                <w:szCs w:val="18"/>
                <w:color w:val="auto"/>
              </w:rPr>
              <w:t>US$(000)   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83,970</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291,214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462,827</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From 3 to 5 years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506,242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587,078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1,631,414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975,425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2,975,667</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2,369,483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Bonds and notes issued have certain financial and operating covenants which, in Management’s opinion, the Group is in compliance at the date of the consolidated statements of financial position.</w:t>
      </w:r>
    </w:p>
    <w:p>
      <w:pPr>
        <w:spacing w:after="0" w:line="166" w:lineRule="exact"/>
        <w:rPr>
          <w:sz w:val="20"/>
          <w:szCs w:val="20"/>
          <w:color w:val="auto"/>
        </w:rPr>
      </w:pPr>
    </w:p>
    <w:p>
      <w:pPr>
        <w:ind w:left="500" w:hanging="492"/>
        <w:spacing w:after="0"/>
        <w:tabs>
          <w:tab w:leader="none" w:pos="5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As of December 31, 2010, 2009 and 2008, 94,382,317 shares of capital stock were issued at US$5 per share.</w:t>
      </w:r>
    </w:p>
    <w:p>
      <w:pPr>
        <w:spacing w:after="0" w:line="210" w:lineRule="exact"/>
        <w:rPr>
          <w:rFonts w:ascii="Arial" w:cs="Arial" w:eastAsia="Arial" w:hAnsi="Arial"/>
          <w:sz w:val="18"/>
          <w:szCs w:val="18"/>
          <w:color w:val="auto"/>
        </w:rPr>
      </w:pPr>
    </w:p>
    <w:p>
      <w:pPr>
        <w:ind w:left="1160" w:hanging="652"/>
        <w:spacing w:after="0"/>
        <w:tabs>
          <w:tab w:leader="none" w:pos="11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rFonts w:ascii="Arial" w:cs="Arial" w:eastAsia="Arial" w:hAnsi="Arial"/>
          <w:sz w:val="18"/>
          <w:szCs w:val="18"/>
          <w:color w:val="auto"/>
        </w:rPr>
      </w:pPr>
    </w:p>
    <w:p>
      <w:pPr>
        <w:ind w:left="1140" w:right="18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2010, treasury stock comprises the par value of 14,941,833 Credicorp’s shares (14,847,842 and 14,620,842 Credicorp’s shares as of December, 31, 2009 and 2008, respectively) owned by the Group’s companies.</w:t>
      </w:r>
    </w:p>
    <w:p>
      <w:pPr>
        <w:spacing w:after="0" w:line="183" w:lineRule="exact"/>
        <w:rPr>
          <w:rFonts w:ascii="Arial" w:cs="Arial" w:eastAsia="Arial" w:hAnsi="Arial"/>
          <w:sz w:val="18"/>
          <w:szCs w:val="18"/>
          <w:color w:val="auto"/>
        </w:rPr>
      </w:pPr>
    </w:p>
    <w:p>
      <w:pPr>
        <w:ind w:left="1140" w:right="60"/>
        <w:spacing w:after="0" w:line="264" w:lineRule="auto"/>
        <w:rPr>
          <w:rFonts w:ascii="Arial" w:cs="Arial" w:eastAsia="Arial" w:hAnsi="Arial"/>
          <w:sz w:val="18"/>
          <w:szCs w:val="18"/>
          <w:color w:val="auto"/>
        </w:rPr>
      </w:pPr>
      <w:r>
        <w:rPr>
          <w:rFonts w:ascii="Arial" w:cs="Arial" w:eastAsia="Arial" w:hAnsi="Arial"/>
          <w:sz w:val="18"/>
          <w:szCs w:val="18"/>
          <w:color w:val="auto"/>
        </w:rPr>
        <w:t>The difference between their acquisition cost of US$209.2 million and their par value of US$74.6 million (as of December 31, 2009 and 2008 acquisition cost of US$198.0 million and US$186.5 million, respectively and their par value of US$74.2 million and US$73.1 million, respectively) is presented as a reduction of “Capital surplus”.</w:t>
      </w:r>
    </w:p>
    <w:p>
      <w:pPr>
        <w:spacing w:after="0" w:line="181" w:lineRule="exact"/>
        <w:rPr>
          <w:rFonts w:ascii="Arial" w:cs="Arial" w:eastAsia="Arial" w:hAnsi="Arial"/>
          <w:sz w:val="18"/>
          <w:szCs w:val="18"/>
          <w:color w:val="auto"/>
        </w:rPr>
      </w:pPr>
    </w:p>
    <w:p>
      <w:pPr>
        <w:ind w:left="1160" w:hanging="652"/>
        <w:spacing w:after="0"/>
        <w:tabs>
          <w:tab w:leader="none" w:pos="11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rFonts w:ascii="Arial" w:cs="Arial" w:eastAsia="Arial" w:hAnsi="Arial"/>
          <w:sz w:val="18"/>
          <w:szCs w:val="18"/>
          <w:color w:val="auto"/>
        </w:rPr>
      </w:pPr>
    </w:p>
    <w:p>
      <w:pPr>
        <w:ind w:left="1140"/>
        <w:spacing w:after="0" w:line="253" w:lineRule="auto"/>
        <w:rPr>
          <w:rFonts w:ascii="Arial" w:cs="Arial" w:eastAsia="Arial" w:hAnsi="Arial"/>
          <w:sz w:val="18"/>
          <w:szCs w:val="18"/>
          <w:color w:val="auto"/>
        </w:rPr>
      </w:pPr>
      <w:r>
        <w:rPr>
          <w:rFonts w:ascii="Arial" w:cs="Arial" w:eastAsia="Arial" w:hAnsi="Arial"/>
          <w:sz w:val="18"/>
          <w:szCs w:val="18"/>
          <w:color w:val="auto"/>
        </w:rPr>
        <w:t>In accordance with Peruvian regulation,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2010, 2009 and 2008, these reserves amounted to approximately US$369.3, US$242.9 and US$231.7 million, respectively.</w:t>
      </w:r>
    </w:p>
    <w:p>
      <w:pPr>
        <w:spacing w:after="0" w:line="191" w:lineRule="exact"/>
        <w:rPr>
          <w:rFonts w:ascii="Arial" w:cs="Arial" w:eastAsia="Arial" w:hAnsi="Arial"/>
          <w:sz w:val="18"/>
          <w:szCs w:val="18"/>
          <w:color w:val="auto"/>
        </w:rPr>
      </w:pPr>
    </w:p>
    <w:p>
      <w:pPr>
        <w:ind w:left="1140" w:right="380"/>
        <w:spacing w:after="0" w:line="277" w:lineRule="auto"/>
        <w:rPr>
          <w:rFonts w:ascii="Arial" w:cs="Arial" w:eastAsia="Arial" w:hAnsi="Arial"/>
          <w:sz w:val="18"/>
          <w:szCs w:val="18"/>
          <w:color w:val="auto"/>
        </w:rPr>
      </w:pPr>
      <w:r>
        <w:rPr>
          <w:rFonts w:ascii="Arial" w:cs="Arial" w:eastAsia="Arial" w:hAnsi="Arial"/>
          <w:sz w:val="18"/>
          <w:szCs w:val="18"/>
          <w:color w:val="auto"/>
        </w:rPr>
        <w:t>The Shareholders’ meetings held on March 26, 2010, March 31, 2009 and March 28, 2008 agreed to transfer from “Retained earnings” to “Reserves” amounts of US$331.6, US$238.1 and US$228.2 million,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line="308" w:lineRule="auto"/>
        <w:rPr>
          <w:sz w:val="20"/>
          <w:szCs w:val="20"/>
          <w:color w:val="auto"/>
        </w:rPr>
      </w:pPr>
      <w:r>
        <w:rPr>
          <w:rFonts w:ascii="Arial" w:cs="Arial" w:eastAsia="Arial" w:hAnsi="Arial"/>
          <w:sz w:val="17"/>
          <w:szCs w:val="17"/>
          <w:color w:val="auto"/>
        </w:rPr>
        <w:t>The caption “Other reserves” includes the unrealized net gain (loss) from available-for-sale investments and from derivatives instruments used as cash flows hedge net of its corresponding deferred income tax, and non-controlling interest; its movement is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Unrealized net gain (loss) of:</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6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Available-for-sale</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Cash flow hedge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reserve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January 1, 2008</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216,983</w:t>
            </w:r>
          </w:p>
        </w:tc>
        <w:tc>
          <w:tcPr>
            <w:tcW w:w="14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(37,433)</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loss from available-for-sale investments</w:t>
            </w:r>
          </w:p>
        </w:tc>
        <w:tc>
          <w:tcPr>
            <w:tcW w:w="16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(164,302)</w:t>
            </w: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3"/>
              </w:rPr>
              <w:t>Transfer of net realized gain from investments available-for-sale to</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the income statement, net of realized loss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(35,684)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(35,684)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Transfer of impairment on investment available-for-sale to income</w:t>
            </w:r>
          </w:p>
        </w:tc>
        <w:tc>
          <w:tcPr>
            <w:tcW w:w="1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statement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55,732</w:t>
            </w: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unrealized loss on cash flow hedge</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(94,937)</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(94,937)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Transfer of net realized loss from cash flow hedge to the income</w:t>
            </w:r>
          </w:p>
        </w:tc>
        <w:tc>
          <w:tcPr>
            <w:tcW w:w="1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statement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0"/>
                <w:szCs w:val="20"/>
                <w:color w:val="auto"/>
              </w:rPr>
            </w:pP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14,248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FFC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2008</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72,729</w:t>
            </w:r>
          </w:p>
        </w:tc>
        <w:tc>
          <w:tcPr>
            <w:tcW w:w="14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(118,122)</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319,041</w:t>
            </w: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319,041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3"/>
              </w:rPr>
              <w:t>Transfer of net realized gain from investments available-for-sale to</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the income statement, net of realized loss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(112,618)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(112,618)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Transfer of impairment on investment available-for-sale to income</w:t>
            </w:r>
          </w:p>
        </w:tc>
        <w:tc>
          <w:tcPr>
            <w:tcW w:w="1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statement, note 5(c)</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9,825</w:t>
            </w: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unrealized gain from cash flow hedge, note 11(b)(ii)</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30,317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Transfer of net realized loss from cash flow hedge to the income</w:t>
            </w:r>
          </w:p>
        </w:tc>
        <w:tc>
          <w:tcPr>
            <w:tcW w:w="1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statement, note 11(b)(ii)</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0"/>
                <w:szCs w:val="20"/>
                <w:color w:val="auto"/>
              </w:rPr>
            </w:pP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36,274</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FFC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2009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288,977</w:t>
            </w:r>
          </w:p>
        </w:tc>
        <w:tc>
          <w:tcPr>
            <w:tcW w:w="14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(51,531)</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237,446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191,305</w:t>
            </w: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191,305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Pr>
          <w:p>
            <w:pPr>
              <w:spacing w:after="0" w:line="201" w:lineRule="exact"/>
              <w:rPr>
                <w:sz w:val="20"/>
                <w:szCs w:val="20"/>
                <w:color w:val="auto"/>
              </w:rPr>
            </w:pPr>
            <w:r>
              <w:rPr>
                <w:rFonts w:ascii="Arial" w:cs="Arial" w:eastAsia="Arial" w:hAnsi="Arial"/>
                <w:sz w:val="18"/>
                <w:szCs w:val="18"/>
                <w:color w:val="auto"/>
                <w:w w:val="93"/>
              </w:rPr>
              <w:t>Transfer of net realized gain from investments available-for-sale to</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the income statement, net of realized loss</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(59,785)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Transfer of impairment on investment available-for-sale to income</w:t>
            </w:r>
          </w:p>
        </w:tc>
        <w:tc>
          <w:tcPr>
            <w:tcW w:w="1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statement, note 5(c)</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3,250</w:t>
            </w: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unrealized loss on cash flow hedge, note11(b)(ii)</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(44,584)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Transfer of net realized gain from cash flow hedge to the income</w:t>
            </w:r>
          </w:p>
        </w:tc>
        <w:tc>
          <w:tcPr>
            <w:tcW w:w="14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statement, note 11(b)(ii)</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0"/>
                <w:szCs w:val="20"/>
                <w:color w:val="auto"/>
              </w:rPr>
            </w:pPr>
          </w:p>
        </w:tc>
        <w:tc>
          <w:tcPr>
            <w:tcW w:w="14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39,089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FFC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 2010</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423,747</w:t>
            </w:r>
          </w:p>
        </w:tc>
        <w:tc>
          <w:tcPr>
            <w:tcW w:w="160" w:type="dxa"/>
            <w:vAlign w:val="bottom"/>
            <w:shd w:val="clear" w:color="auto" w:fill="CCFFCC"/>
          </w:tcPr>
          <w:p>
            <w:pPr>
              <w:spacing w:after="0"/>
              <w:rPr>
                <w:sz w:val="20"/>
                <w:szCs w:val="20"/>
                <w:color w:val="auto"/>
              </w:rPr>
            </w:pPr>
          </w:p>
        </w:tc>
        <w:tc>
          <w:tcPr>
            <w:tcW w:w="14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(57,026)</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366,721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Components of other comprehensive income -</w:t>
      </w:r>
    </w:p>
    <w:p>
      <w:pPr>
        <w:spacing w:after="0" w:line="23" w:lineRule="exact"/>
        <w:rPr>
          <w:rFonts w:ascii="Arial" w:cs="Arial" w:eastAsia="Arial" w:hAnsi="Arial"/>
          <w:sz w:val="18"/>
          <w:szCs w:val="18"/>
          <w:color w:val="auto"/>
        </w:rPr>
      </w:pPr>
    </w:p>
    <w:p>
      <w:pPr>
        <w:ind w:left="1140" w:right="220"/>
        <w:spacing w:after="0" w:line="261" w:lineRule="auto"/>
        <w:rPr>
          <w:rFonts w:ascii="Arial" w:cs="Arial" w:eastAsia="Arial" w:hAnsi="Arial"/>
          <w:sz w:val="18"/>
          <w:szCs w:val="18"/>
          <w:color w:val="auto"/>
        </w:rPr>
      </w:pPr>
      <w:r>
        <w:rPr>
          <w:rFonts w:ascii="Arial" w:cs="Arial" w:eastAsia="Arial" w:hAnsi="Arial"/>
          <w:sz w:val="18"/>
          <w:szCs w:val="18"/>
          <w:color w:val="auto"/>
        </w:rPr>
        <w:t>The consolidated statement of comprehensive income includes other comprehensive income from available-for-sale investments and from derivatives financial instruments used as cash flows hedges; its movement is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Available-for-sale investments:</w:t>
            </w: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(loss) from available-for-sale investments</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191,305</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319,041</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(164,302)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w w:val="93"/>
              </w:rPr>
              <w:t>Transfer of net realized gain from investments available-for-sale to the income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Arial" w:cs="Arial" w:eastAsia="Arial" w:hAnsi="Arial"/>
                <w:sz w:val="18"/>
                <w:szCs w:val="18"/>
                <w:color w:val="auto"/>
              </w:rPr>
              <w:t>statement, net of realized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(59,785)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(112,618)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w w:val="95"/>
              </w:rPr>
              <w:t>Transfer of impairment on investment available-for-sale to income statement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3,250</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9,825</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55,732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134,770</w:t>
            </w:r>
          </w:p>
        </w:tc>
        <w:tc>
          <w:tcPr>
            <w:tcW w:w="900" w:type="dxa"/>
            <w:vAlign w:val="bottom"/>
          </w:tcPr>
          <w:p>
            <w:pPr>
              <w:jc w:val="right"/>
              <w:spacing w:after="0"/>
              <w:rPr>
                <w:sz w:val="20"/>
                <w:szCs w:val="20"/>
                <w:color w:val="auto"/>
              </w:rPr>
            </w:pPr>
            <w:r>
              <w:rPr>
                <w:rFonts w:ascii="Arial" w:cs="Arial" w:eastAsia="Arial" w:hAnsi="Arial"/>
                <w:sz w:val="18"/>
                <w:szCs w:val="18"/>
                <w:color w:val="auto"/>
              </w:rPr>
              <w:t>216,248</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w w:val="98"/>
              </w:rPr>
              <w:t>Available-for-sale non-controlling interest on investment available-for-sale</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22,795</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45,019</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67,696</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7,283</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225,261</w:t>
            </w:r>
          </w:p>
        </w:tc>
        <w:tc>
          <w:tcPr>
            <w:tcW w:w="900" w:type="dxa"/>
            <w:vAlign w:val="bottom"/>
          </w:tcPr>
          <w:p>
            <w:pPr>
              <w:jc w:val="right"/>
              <w:spacing w:after="0"/>
              <w:rPr>
                <w:sz w:val="20"/>
                <w:szCs w:val="20"/>
                <w:color w:val="auto"/>
              </w:rPr>
            </w:pPr>
            <w:r>
              <w:rPr>
                <w:rFonts w:ascii="Arial" w:cs="Arial" w:eastAsia="Arial" w:hAnsi="Arial"/>
                <w:sz w:val="18"/>
                <w:szCs w:val="18"/>
                <w:color w:val="auto"/>
              </w:rPr>
              <w:t>268,550</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(198,646)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Cash flow hedge: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(loss) on cash flow hedge</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(44,584)</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30,317</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color w:val="auto"/>
              </w:rPr>
              <w:t>Transfer of net realized loss (gain) from cash flow hedge to the income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Arial" w:cs="Arial" w:eastAsia="Arial" w:hAnsi="Arial"/>
                <w:sz w:val="18"/>
                <w:szCs w:val="18"/>
                <w:color w:val="auto"/>
              </w:rPr>
              <w:t>statement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39,089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36,274</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 total</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(5,495)</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66,591</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Non-controlling interest of cash flow hedge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(1,686)</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(1,442)</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(7,319)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66,024</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hanging="652"/>
        <w:spacing w:after="0"/>
        <w:tabs>
          <w:tab w:leader="none" w:pos="11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During 2010, 2009 and 2008, Credicorp paid cash dividends, net of the effect of treasury shares, for approximately US$135.5, US$119.3 and US$119.6 million, respectively.</w:t>
      </w:r>
    </w:p>
    <w:p>
      <w:pPr>
        <w:spacing w:after="0" w:line="183" w:lineRule="exact"/>
        <w:rPr>
          <w:rFonts w:ascii="Arial" w:cs="Arial" w:eastAsia="Arial" w:hAnsi="Arial"/>
          <w:sz w:val="18"/>
          <w:szCs w:val="18"/>
          <w:color w:val="auto"/>
        </w:rPr>
      </w:pPr>
    </w:p>
    <w:p>
      <w:pPr>
        <w:ind w:left="1140" w:right="320"/>
        <w:spacing w:after="0" w:line="342" w:lineRule="auto"/>
        <w:rPr>
          <w:rFonts w:ascii="Arial" w:cs="Arial" w:eastAsia="Arial" w:hAnsi="Arial"/>
          <w:sz w:val="18"/>
          <w:szCs w:val="18"/>
          <w:color w:val="auto"/>
        </w:rPr>
      </w:pPr>
      <w:r>
        <w:rPr>
          <w:rFonts w:ascii="Arial" w:cs="Arial" w:eastAsia="Arial" w:hAnsi="Arial"/>
          <w:sz w:val="16"/>
          <w:szCs w:val="16"/>
          <w:color w:val="auto"/>
        </w:rPr>
        <w:t>The Board of Directors Meeting dated on February 23, 2011 agreed to declare a cash dividend of US$1.95 per Common Share for a total amount of approximately US$184.0 million, corresponding to the results of 2010, which was paid in cash on March 13, 2011.</w:t>
      </w:r>
    </w:p>
    <w:p>
      <w:pPr>
        <w:spacing w:after="0" w:line="123" w:lineRule="exact"/>
        <w:rPr>
          <w:rFonts w:ascii="Arial" w:cs="Arial" w:eastAsia="Arial" w:hAnsi="Arial"/>
          <w:sz w:val="18"/>
          <w:szCs w:val="18"/>
          <w:color w:val="auto"/>
        </w:rPr>
      </w:pPr>
    </w:p>
    <w:p>
      <w:pPr>
        <w:ind w:left="1140" w:right="38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83" w:right="35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3" w:lineRule="exact"/>
        <w:rPr>
          <w:rFonts w:ascii="Arial" w:cs="Arial" w:eastAsia="Arial" w:hAnsi="Arial"/>
          <w:sz w:val="18"/>
          <w:szCs w:val="18"/>
          <w:color w:val="auto"/>
        </w:rPr>
      </w:pPr>
    </w:p>
    <w:p>
      <w:pPr>
        <w:ind w:left="1140" w:right="80"/>
        <w:spacing w:after="0" w:line="254" w:lineRule="auto"/>
        <w:rPr>
          <w:rFonts w:ascii="Arial" w:cs="Arial" w:eastAsia="Arial" w:hAnsi="Arial"/>
          <w:sz w:val="18"/>
          <w:szCs w:val="18"/>
          <w:color w:val="auto"/>
        </w:rPr>
      </w:pPr>
      <w:r>
        <w:rPr>
          <w:rFonts w:ascii="Arial" w:cs="Arial" w:eastAsia="Arial" w:hAnsi="Arial"/>
          <w:sz w:val="18"/>
          <w:szCs w:val="18"/>
          <w:color w:val="auto"/>
        </w:rPr>
        <w:t>As of December 31, 2010 and 2009, the regulatory capital for Credicorp’s subsidiaries engaged in financial and insurance activities in Peru calculated following SBS regulations amounted to approximately US$2,391.3 and US$2,221.1 million, respectively. As of December 31, 2010, the consolidated regulatory capital for Credicorp exceeds by approximately US$514.8 million the minimum regulatory capital required by the SBS (approximately US$660.3 million as of December 31, 2009).</w:t>
      </w:r>
    </w:p>
    <w:p>
      <w:pPr>
        <w:spacing w:after="0" w:line="185" w:lineRule="exact"/>
        <w:rPr>
          <w:rFonts w:ascii="Arial" w:cs="Arial" w:eastAsia="Arial" w:hAnsi="Arial"/>
          <w:sz w:val="18"/>
          <w:szCs w:val="18"/>
          <w:color w:val="auto"/>
        </w:rPr>
      </w:pPr>
    </w:p>
    <w:p>
      <w:pPr>
        <w:ind w:left="500" w:hanging="492"/>
        <w:spacing w:after="0"/>
        <w:tabs>
          <w:tab w:leader="none" w:pos="5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160" w:right="40" w:hanging="652"/>
        <w:spacing w:after="0" w:line="277" w:lineRule="auto"/>
        <w:tabs>
          <w:tab w:leader="none" w:pos="116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Credicorp’s Peruvian subsidiaries are subject to corporate taxation on income under the Peruvian Tax system. The statutory Income Tax rate is 30 percent on taxable income after calculating the workers’ profit sharing, which in accordance with current legislation is determined using a 5 percent rate.</w:t>
      </w:r>
    </w:p>
    <w:p>
      <w:pPr>
        <w:spacing w:after="0" w:line="173" w:lineRule="exact"/>
        <w:rPr>
          <w:rFonts w:ascii="Arial" w:cs="Arial" w:eastAsia="Arial" w:hAnsi="Arial"/>
          <w:sz w:val="17"/>
          <w:szCs w:val="17"/>
          <w:color w:val="auto"/>
        </w:rPr>
      </w:pPr>
    </w:p>
    <w:p>
      <w:pPr>
        <w:ind w:left="1140" w:right="40"/>
        <w:spacing w:after="0" w:line="277" w:lineRule="auto"/>
        <w:rPr>
          <w:rFonts w:ascii="Arial" w:cs="Arial" w:eastAsia="Arial" w:hAnsi="Arial"/>
          <w:sz w:val="17"/>
          <w:szCs w:val="17"/>
          <w:color w:val="auto"/>
        </w:rPr>
      </w:pPr>
      <w:r>
        <w:rPr>
          <w:rFonts w:ascii="Arial" w:cs="Arial" w:eastAsia="Arial" w:hAnsi="Arial"/>
          <w:sz w:val="18"/>
          <w:szCs w:val="18"/>
          <w:color w:val="auto"/>
        </w:rPr>
        <w:t>Credicorp´s Bolivian subsidiaries are subject to corporate taxation on income under the Bolivian Tax system. The statutory income tax rate is 25 percent.</w:t>
      </w:r>
    </w:p>
    <w:p>
      <w:pPr>
        <w:spacing w:after="0" w:line="170" w:lineRule="exact"/>
        <w:rPr>
          <w:rFonts w:ascii="Arial" w:cs="Arial" w:eastAsia="Arial" w:hAnsi="Arial"/>
          <w:sz w:val="17"/>
          <w:szCs w:val="17"/>
          <w:color w:val="auto"/>
        </w:rPr>
      </w:pPr>
    </w:p>
    <w:p>
      <w:pPr>
        <w:ind w:left="1140"/>
        <w:spacing w:after="0" w:line="277" w:lineRule="auto"/>
        <w:rPr>
          <w:rFonts w:ascii="Arial" w:cs="Arial" w:eastAsia="Arial" w:hAnsi="Arial"/>
          <w:sz w:val="17"/>
          <w:szCs w:val="17"/>
          <w:color w:val="auto"/>
        </w:rPr>
      </w:pPr>
      <w:r>
        <w:rPr>
          <w:rFonts w:ascii="Arial" w:cs="Arial" w:eastAsia="Arial" w:hAnsi="Arial"/>
          <w:sz w:val="18"/>
          <w:szCs w:val="18"/>
          <w:color w:val="auto"/>
        </w:rPr>
        <w:t>ASHC and its Subsidiaries are not subject to taxes in the Cayman Islands or Panama. For the three years ended December 31, 2010, 2009 and 2008, no taxable income was generated from its operations in the United States of America.</w:t>
      </w:r>
    </w:p>
    <w:p>
      <w:pPr>
        <w:spacing w:after="0" w:line="170"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30.00</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(i)  (Decrease) increase arising from net income of subsidiaries not</w:t>
            </w:r>
          </w:p>
        </w:tc>
        <w:tc>
          <w:tcPr>
            <w:tcW w:w="8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5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domiciled in Peru</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(0.36)</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0.26</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(ii)</w:t>
            </w:r>
          </w:p>
        </w:tc>
        <w:tc>
          <w:tcPr>
            <w:tcW w:w="5460" w:type="dxa"/>
            <w:vAlign w:val="bottom"/>
          </w:tcPr>
          <w:p>
            <w:pPr>
              <w:ind w:left="60"/>
              <w:spacing w:after="0"/>
              <w:rPr>
                <w:sz w:val="20"/>
                <w:szCs w:val="20"/>
                <w:color w:val="auto"/>
              </w:rPr>
            </w:pPr>
            <w:r>
              <w:rPr>
                <w:rFonts w:ascii="Arial" w:cs="Arial" w:eastAsia="Arial" w:hAnsi="Arial"/>
                <w:sz w:val="18"/>
                <w:szCs w:val="18"/>
                <w:color w:val="auto"/>
              </w:rPr>
              <w:t>Non-taxable income, net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shd w:val="clear" w:color="auto" w:fill="CCFFCC"/>
          </w:tcPr>
          <w:p>
            <w:pPr>
              <w:spacing w:after="0"/>
              <w:rPr>
                <w:sz w:val="20"/>
                <w:szCs w:val="20"/>
                <w:color w:val="auto"/>
              </w:rPr>
            </w:pPr>
            <w:r>
              <w:rPr>
                <w:rFonts w:ascii="Arial" w:cs="Arial" w:eastAsia="Arial" w:hAnsi="Arial"/>
                <w:sz w:val="18"/>
                <w:szCs w:val="18"/>
                <w:color w:val="auto"/>
              </w:rPr>
              <w:t>(iii)</w:t>
            </w:r>
          </w:p>
        </w:tc>
        <w:tc>
          <w:tcPr>
            <w:tcW w:w="5460" w:type="dxa"/>
            <w:vAlign w:val="bottom"/>
            <w:shd w:val="clear" w:color="auto" w:fill="CCFFCC"/>
          </w:tcPr>
          <w:p>
            <w:pPr>
              <w:ind w:left="60"/>
              <w:spacing w:after="0"/>
              <w:rPr>
                <w:sz w:val="20"/>
                <w:szCs w:val="20"/>
                <w:color w:val="auto"/>
              </w:rPr>
            </w:pPr>
            <w:r>
              <w:rPr>
                <w:rFonts w:ascii="Arial" w:cs="Arial" w:eastAsia="Arial" w:hAnsi="Arial"/>
                <w:sz w:val="18"/>
                <w:szCs w:val="18"/>
                <w:color w:val="auto"/>
              </w:rPr>
              <w:t>Translation results not considered for tax purposes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Borders>
              <w:top w:val="single" w:sz="8" w:color="CCFFCC"/>
            </w:tcBorders>
            <w:gridSpan w:val="2"/>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23.67</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21.54</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54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52"/>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Income tax expense as of December 31, 2010, 2009 and 2008 comprises: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 Peru</w:t>
            </w:r>
          </w:p>
        </w:tc>
        <w:tc>
          <w:tcPr>
            <w:tcW w:w="900" w:type="dxa"/>
            <w:vAlign w:val="bottom"/>
          </w:tcPr>
          <w:p>
            <w:pPr>
              <w:jc w:val="right"/>
              <w:spacing w:after="0"/>
              <w:rPr>
                <w:sz w:val="20"/>
                <w:szCs w:val="20"/>
                <w:color w:val="auto"/>
              </w:rPr>
            </w:pPr>
            <w:r>
              <w:rPr>
                <w:rFonts w:ascii="Arial" w:cs="Arial" w:eastAsia="Arial" w:hAnsi="Arial"/>
                <w:sz w:val="18"/>
                <w:szCs w:val="18"/>
                <w:color w:val="auto"/>
              </w:rPr>
              <w:t>200,195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143,925</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3,219</w:t>
            </w:r>
          </w:p>
        </w:tc>
        <w:tc>
          <w:tcPr>
            <w:tcW w:w="2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3,127</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203,414</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147,052</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w:t>
            </w: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 Peru</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(16,333)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(8,552)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rPr>
              <w:t>187,081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109,508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deferred income tax has been calculated on all temporary differences considering an income tax rate of 30 percent.</w:t>
      </w:r>
    </w:p>
    <w:p>
      <w:pPr>
        <w:spacing w:after="0" w:line="248" w:lineRule="exact"/>
        <w:rPr>
          <w:sz w:val="20"/>
          <w:szCs w:val="20"/>
          <w:color w:val="auto"/>
        </w:rPr>
      </w:pPr>
    </w:p>
    <w:p>
      <w:pPr>
        <w:ind w:left="1160" w:hanging="652"/>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56,163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 rights provision</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19,253</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Reserve for sundry risks, net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9,250</w:t>
            </w:r>
          </w:p>
        </w:tc>
        <w:tc>
          <w:tcPr>
            <w:tcW w:w="880" w:type="dxa"/>
            <w:vAlign w:val="bottom"/>
          </w:tcPr>
          <w:p>
            <w:pPr>
              <w:jc w:val="right"/>
              <w:spacing w:after="0"/>
              <w:rPr>
                <w:sz w:val="20"/>
                <w:szCs w:val="20"/>
                <w:color w:val="auto"/>
              </w:rPr>
            </w:pPr>
            <w:r>
              <w:rPr>
                <w:rFonts w:ascii="Arial" w:cs="Arial" w:eastAsia="Arial" w:hAnsi="Arial"/>
                <w:sz w:val="18"/>
                <w:szCs w:val="18"/>
                <w:color w:val="auto"/>
              </w:rPr>
              <w:t>11,369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Non-accrued interest</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780</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Tax loss carry-forward – PPS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23,927</w:t>
            </w: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15,318</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109,373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84,070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Unrealized net gains on investments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(97,010)</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Intangibles assets, net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(23,049)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(20,710)</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Deferred commissions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(8,312)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Leasing operations, net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(2,196)</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Gain for difference tax exchange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(13,042)</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(165,236)</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(89,406)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Net deferred income tax liability</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(55,863)</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3" w:right="1440"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Credicorp and its subsidiaries have recorded a deferred income tax as part of the equity caption “Other reserves” for US$66.0,US$14.1 and US$19.6 million, as of December 31, 2010, 2009 and 2008, respectively, related to the income tax effects of unrealized gains and losses on investments available for sale and cash flow hedges. Likewise, the Group recognized the deferred tax liability arising from the acquisition of Edyficar (Note 2 (b)) and AFP Prima (year 2006) for approximately US$25.4 million (approximately US$24.3 million, as of December 31, 2009).</w:t>
      </w:r>
    </w:p>
    <w:p>
      <w:pPr>
        <w:spacing w:after="0" w:line="188" w:lineRule="exact"/>
        <w:rPr>
          <w:sz w:val="20"/>
          <w:szCs w:val="20"/>
          <w:color w:val="auto"/>
        </w:rPr>
      </w:pPr>
    </w:p>
    <w:p>
      <w:pPr>
        <w:ind w:left="1160" w:right="200" w:hanging="652"/>
        <w:spacing w:after="0" w:line="259" w:lineRule="auto"/>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Peruvian Tax Authority has the right to review and, if necessary, amend the annual tax returns of the Peruvian subsidiaries up to four years after their filing. From the review of the subsidiaries’ tax returns by the Tax Authority no significant additional taxes arose from the consolidated financial statements. Management of each subsidiary has filed an appeal in the applicable cases. Tax returns not yet reviewed by the Peruvian Tax Authority are the following:</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Banco de Credito del Perú</w:t>
            </w:r>
          </w:p>
        </w:tc>
        <w:tc>
          <w:tcPr>
            <w:tcW w:w="4340" w:type="dxa"/>
            <w:vAlign w:val="bottom"/>
          </w:tcPr>
          <w:p>
            <w:pPr>
              <w:jc w:val="right"/>
              <w:spacing w:after="0"/>
              <w:rPr>
                <w:sz w:val="20"/>
                <w:szCs w:val="20"/>
                <w:color w:val="auto"/>
              </w:rPr>
            </w:pPr>
            <w:r>
              <w:rPr>
                <w:rFonts w:ascii="Arial" w:cs="Arial" w:eastAsia="Arial" w:hAnsi="Arial"/>
                <w:sz w:val="18"/>
                <w:szCs w:val="18"/>
                <w:color w:val="auto"/>
              </w:rPr>
              <w:t>2007 - 2010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Pacifico Peruano Suiza</w:t>
            </w:r>
          </w:p>
        </w:tc>
        <w:tc>
          <w:tcPr>
            <w:tcW w:w="4340" w:type="dxa"/>
            <w:vAlign w:val="bottom"/>
          </w:tcPr>
          <w:p>
            <w:pPr>
              <w:jc w:val="right"/>
              <w:spacing w:after="0"/>
              <w:rPr>
                <w:sz w:val="20"/>
                <w:szCs w:val="20"/>
                <w:color w:val="auto"/>
              </w:rPr>
            </w:pPr>
            <w:r>
              <w:rPr>
                <w:rFonts w:ascii="Arial" w:cs="Arial" w:eastAsia="Arial" w:hAnsi="Arial"/>
                <w:sz w:val="18"/>
                <w:szCs w:val="18"/>
                <w:color w:val="auto"/>
              </w:rPr>
              <w:t>2007 - 2010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Prima AFP</w:t>
            </w:r>
          </w:p>
        </w:tc>
        <w:tc>
          <w:tcPr>
            <w:tcW w:w="4340" w:type="dxa"/>
            <w:vAlign w:val="bottom"/>
          </w:tcPr>
          <w:p>
            <w:pPr>
              <w:jc w:val="right"/>
              <w:spacing w:after="0"/>
              <w:rPr>
                <w:sz w:val="20"/>
                <w:szCs w:val="20"/>
                <w:color w:val="auto"/>
              </w:rPr>
            </w:pPr>
            <w:r>
              <w:rPr>
                <w:rFonts w:ascii="Arial" w:cs="Arial" w:eastAsia="Arial" w:hAnsi="Arial"/>
                <w:sz w:val="18"/>
                <w:szCs w:val="18"/>
                <w:color w:val="auto"/>
              </w:rPr>
              <w:t>2008 - 2010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Pacífico Vida</w:t>
            </w:r>
          </w:p>
        </w:tc>
        <w:tc>
          <w:tcPr>
            <w:tcW w:w="4340" w:type="dxa"/>
            <w:vAlign w:val="bottom"/>
          </w:tcPr>
          <w:p>
            <w:pPr>
              <w:jc w:val="right"/>
              <w:spacing w:after="0"/>
              <w:rPr>
                <w:sz w:val="20"/>
                <w:szCs w:val="20"/>
                <w:color w:val="auto"/>
              </w:rPr>
            </w:pPr>
            <w:r>
              <w:rPr>
                <w:rFonts w:ascii="Arial" w:cs="Arial" w:eastAsia="Arial" w:hAnsi="Arial"/>
                <w:sz w:val="18"/>
                <w:szCs w:val="18"/>
                <w:color w:val="auto"/>
              </w:rPr>
              <w:t>2007 - 2010</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Edyficar</w:t>
            </w:r>
          </w:p>
        </w:tc>
        <w:tc>
          <w:tcPr>
            <w:tcW w:w="4340" w:type="dxa"/>
            <w:vAlign w:val="bottom"/>
          </w:tcPr>
          <w:p>
            <w:pPr>
              <w:jc w:val="right"/>
              <w:spacing w:after="0"/>
              <w:rPr>
                <w:sz w:val="20"/>
                <w:szCs w:val="20"/>
                <w:color w:val="auto"/>
              </w:rPr>
            </w:pPr>
            <w:r>
              <w:rPr>
                <w:rFonts w:ascii="Arial" w:cs="Arial" w:eastAsia="Arial" w:hAnsi="Arial"/>
                <w:sz w:val="18"/>
                <w:szCs w:val="18"/>
                <w:color w:val="auto"/>
              </w:rPr>
              <w:t>2008 - 2010</w:t>
            </w:r>
          </w:p>
        </w:tc>
      </w:tr>
    </w:tbl>
    <w:p>
      <w:pPr>
        <w:spacing w:after="0" w:line="202"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Any additional tax arising as a result of the Tax Authority review will be charged to income in the year when such additional tax is determined. At present, it is not possible to estimate the adjustments that the Tax Authority may determine; however, in Management’s opinion, it is not expected that any additional tax will be determined in amounts considered significant to the consolidated financial statements as of December 31, 2010 and 2009.</w:t>
      </w:r>
    </w:p>
    <w:p>
      <w:pPr>
        <w:spacing w:after="0" w:line="183" w:lineRule="exact"/>
        <w:rPr>
          <w:sz w:val="20"/>
          <w:szCs w:val="20"/>
          <w:color w:val="auto"/>
        </w:rPr>
      </w:pPr>
    </w:p>
    <w:p>
      <w:pPr>
        <w:ind w:left="500" w:hanging="492"/>
        <w:spacing w:after="0"/>
        <w:tabs>
          <w:tab w:leader="none" w:pos="50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7" w:lineRule="exact"/>
        <w:rPr>
          <w:rFonts w:ascii="Arial" w:cs="Arial" w:eastAsia="Arial" w:hAnsi="Arial"/>
          <w:sz w:val="18"/>
          <w:szCs w:val="18"/>
          <w:b w:val="1"/>
          <w:bCs w:val="1"/>
          <w:color w:val="auto"/>
        </w:rPr>
      </w:pPr>
    </w:p>
    <w:p>
      <w:pPr>
        <w:ind w:left="1160" w:hanging="652"/>
        <w:spacing w:after="0"/>
        <w:tabs>
          <w:tab w:leader="none" w:pos="11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9"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As indicated in note 3(w), 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April, 2014.</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number of outstanding SARs and their exercise prices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Number of outstanding</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Year of</w:t>
            </w:r>
          </w:p>
        </w:tc>
        <w:tc>
          <w:tcPr>
            <w:tcW w:w="1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SARs issued as of</w:t>
            </w:r>
          </w:p>
        </w:tc>
        <w:tc>
          <w:tcPr>
            <w:tcW w:w="2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8"/>
              </w:rPr>
              <w:t>Number of Vested SARs</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Issuance</w:t>
            </w:r>
          </w:p>
        </w:tc>
        <w:tc>
          <w:tcPr>
            <w:tcW w:w="1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December 31, 2010</w:t>
            </w:r>
          </w:p>
        </w:tc>
        <w:tc>
          <w:tcPr>
            <w:tcW w:w="20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as of December 31</w:t>
            </w:r>
          </w:p>
        </w:tc>
        <w:tc>
          <w:tcPr>
            <w:tcW w:w="1860" w:type="dxa"/>
            <w:vAlign w:val="bottom"/>
            <w:gridSpan w:val="3"/>
          </w:tcPr>
          <w:p>
            <w:pPr>
              <w:ind w:left="3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7"/>
                <w:szCs w:val="17"/>
                <w:color w:val="auto"/>
              </w:rPr>
            </w:pPr>
          </w:p>
        </w:tc>
        <w:tc>
          <w:tcPr>
            <w:tcW w:w="100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b w:val="1"/>
                <w:bCs w:val="1"/>
                <w:color w:val="auto"/>
              </w:rPr>
              <w:t>2010</w:t>
            </w:r>
          </w:p>
        </w:tc>
        <w:tc>
          <w:tcPr>
            <w:tcW w:w="780" w:type="dxa"/>
            <w:vAlign w:val="bottom"/>
            <w:tcBorders>
              <w:top w:val="single" w:sz="8" w:color="auto"/>
            </w:tcBorders>
          </w:tcPr>
          <w:p>
            <w:pPr>
              <w:jc w:val="right"/>
              <w:ind w:right="150"/>
              <w:spacing w:after="0" w:line="201" w:lineRule="exact"/>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US$</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2002</w:t>
            </w:r>
          </w:p>
        </w:tc>
        <w:tc>
          <w:tcPr>
            <w:tcW w:w="1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52,500</w:t>
            </w:r>
          </w:p>
        </w:tc>
        <w:tc>
          <w:tcPr>
            <w:tcW w:w="10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5.28</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2003</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36,500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36,500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96,900</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6.47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87,500</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87,500</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118,750</w:t>
            </w:r>
          </w:p>
        </w:tc>
        <w:tc>
          <w:tcPr>
            <w:tcW w:w="10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9.29</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2005</w:t>
            </w:r>
          </w:p>
        </w:tc>
        <w:tc>
          <w:tcPr>
            <w:tcW w:w="1780" w:type="dxa"/>
            <w:vAlign w:val="bottom"/>
          </w:tcPr>
          <w:p>
            <w:pPr>
              <w:jc w:val="right"/>
              <w:spacing w:after="0"/>
              <w:rPr>
                <w:sz w:val="20"/>
                <w:szCs w:val="20"/>
                <w:color w:val="auto"/>
              </w:rPr>
            </w:pPr>
            <w:r>
              <w:rPr>
                <w:rFonts w:ascii="Arial" w:cs="Arial" w:eastAsia="Arial" w:hAnsi="Arial"/>
                <w:sz w:val="18"/>
                <w:szCs w:val="18"/>
                <w:color w:val="auto"/>
              </w:rPr>
              <w:t>107,500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107,500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14.30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171,300</w:t>
            </w:r>
          </w:p>
        </w:tc>
        <w:tc>
          <w:tcPr>
            <w:tcW w:w="1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171,300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226,250</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23.62</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2007</w:t>
            </w:r>
          </w:p>
        </w:tc>
        <w:tc>
          <w:tcPr>
            <w:tcW w:w="1780" w:type="dxa"/>
            <w:vAlign w:val="bottom"/>
          </w:tcPr>
          <w:p>
            <w:pPr>
              <w:jc w:val="right"/>
              <w:spacing w:after="0"/>
              <w:rPr>
                <w:sz w:val="20"/>
                <w:szCs w:val="20"/>
                <w:color w:val="auto"/>
              </w:rPr>
            </w:pPr>
            <w:r>
              <w:rPr>
                <w:rFonts w:ascii="Arial" w:cs="Arial" w:eastAsia="Arial" w:hAnsi="Arial"/>
                <w:sz w:val="18"/>
                <w:szCs w:val="18"/>
                <w:color w:val="auto"/>
              </w:rPr>
              <w:t>168,310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168,310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214,831</w:t>
            </w:r>
          </w:p>
        </w:tc>
        <w:tc>
          <w:tcPr>
            <w:tcW w:w="16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23.62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2008 (*)</w:t>
            </w:r>
          </w:p>
        </w:tc>
        <w:tc>
          <w:tcPr>
            <w:tcW w:w="1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224,045</w:t>
            </w:r>
          </w:p>
        </w:tc>
        <w:tc>
          <w:tcPr>
            <w:tcW w:w="18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206,589</w:t>
            </w:r>
          </w:p>
        </w:tc>
        <w:tc>
          <w:tcPr>
            <w:tcW w:w="160" w:type="dxa"/>
            <w:vAlign w:val="bottom"/>
            <w:tcBorders>
              <w:bottom w:val="single" w:sz="8" w:color="CCFFCC"/>
            </w:tcBorders>
            <w:shd w:val="clear" w:color="auto" w:fill="CCFFCC"/>
          </w:tcPr>
          <w:p>
            <w:pPr>
              <w:spacing w:after="0"/>
              <w:rPr>
                <w:sz w:val="19"/>
                <w:szCs w:val="19"/>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174,045</w:t>
            </w:r>
          </w:p>
        </w:tc>
        <w:tc>
          <w:tcPr>
            <w:tcW w:w="16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rPr>
              <w:t>23.62</w:t>
            </w:r>
          </w:p>
        </w:tc>
        <w:tc>
          <w:tcPr>
            <w:tcW w:w="8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795,155</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777,699</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1,038,276</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20" w:hanging="651"/>
        <w:spacing w:after="0" w:line="277" w:lineRule="auto"/>
        <w:tabs>
          <w:tab w:leader="none" w:pos="18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Since April 2008, no more SARs were granted and, on April 2009, a new supplementary plan was implemented to benefit the same employees in the form of stock awards, see (b).</w:t>
      </w:r>
    </w:p>
    <w:p>
      <w:pPr>
        <w:spacing w:after="0" w:line="170"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Credicorp’s Management has estimated the SARs´ fair value as of December 31, 2010 and 2009, using the binomial option pricing model, considering the following market information: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Key assumptions</w:t>
            </w:r>
          </w:p>
        </w:tc>
        <w:tc>
          <w:tcPr>
            <w:tcW w:w="150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52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390"/>
              <w:spacing w:after="0"/>
              <w:rPr>
                <w:sz w:val="20"/>
                <w:szCs w:val="20"/>
                <w:color w:val="auto"/>
              </w:rPr>
            </w:pPr>
            <w:r>
              <w:rPr>
                <w:rFonts w:ascii="Arial" w:cs="Arial" w:eastAsia="Arial" w:hAnsi="Arial"/>
                <w:sz w:val="18"/>
                <w:szCs w:val="18"/>
                <w:color w:val="auto"/>
              </w:rPr>
              <w:t>37.91%</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500" w:type="dxa"/>
            <w:vAlign w:val="bottom"/>
          </w:tcPr>
          <w:p>
            <w:pPr>
              <w:spacing w:after="0"/>
              <w:rPr>
                <w:sz w:val="18"/>
                <w:szCs w:val="18"/>
                <w:color w:val="auto"/>
              </w:rPr>
            </w:pPr>
          </w:p>
        </w:tc>
        <w:tc>
          <w:tcPr>
            <w:tcW w:w="1540" w:type="dxa"/>
            <w:vAlign w:val="bottom"/>
            <w:gridSpan w:val="2"/>
          </w:tcPr>
          <w:p>
            <w:pPr>
              <w:jc w:val="right"/>
              <w:ind w:right="390"/>
              <w:spacing w:after="0"/>
              <w:rPr>
                <w:sz w:val="20"/>
                <w:szCs w:val="20"/>
                <w:color w:val="auto"/>
              </w:rPr>
            </w:pPr>
            <w:r>
              <w:rPr>
                <w:rFonts w:ascii="Arial" w:cs="Arial" w:eastAsia="Arial" w:hAnsi="Arial"/>
                <w:sz w:val="18"/>
                <w:szCs w:val="18"/>
                <w:color w:val="auto"/>
              </w:rPr>
              <w:t>3.55%</w:t>
            </w:r>
          </w:p>
        </w:tc>
        <w:tc>
          <w:tcPr>
            <w:tcW w:w="106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150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2.75 years</w:t>
            </w:r>
          </w:p>
        </w:tc>
        <w:tc>
          <w:tcPr>
            <w:tcW w:w="520" w:type="dxa"/>
            <w:vAlign w:val="bottom"/>
            <w:shd w:val="clear" w:color="auto" w:fill="CCFFCC"/>
          </w:tcPr>
          <w:p>
            <w:pPr>
              <w:spacing w:after="0"/>
              <w:rPr>
                <w:sz w:val="18"/>
                <w:szCs w:val="18"/>
                <w:color w:val="auto"/>
              </w:rPr>
            </w:pPr>
          </w:p>
        </w:tc>
        <w:tc>
          <w:tcPr>
            <w:tcW w:w="10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3.93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Quoted price of Credicorp shares at year-end</w:t>
            </w:r>
          </w:p>
        </w:tc>
        <w:tc>
          <w:tcPr>
            <w:tcW w:w="1500" w:type="dxa"/>
            <w:vAlign w:val="bottom"/>
          </w:tcPr>
          <w:p>
            <w:pPr>
              <w:ind w:left="1100"/>
              <w:spacing w:after="0"/>
              <w:rPr>
                <w:sz w:val="20"/>
                <w:szCs w:val="20"/>
                <w:color w:val="auto"/>
              </w:rPr>
            </w:pPr>
            <w:r>
              <w:rPr>
                <w:rFonts w:ascii="Arial" w:cs="Arial" w:eastAsia="Arial" w:hAnsi="Arial"/>
                <w:sz w:val="18"/>
                <w:szCs w:val="18"/>
                <w:color w:val="auto"/>
              </w:rPr>
              <w:t>US$</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118.91</w:t>
            </w:r>
          </w:p>
        </w:tc>
        <w:tc>
          <w:tcPr>
            <w:tcW w:w="520" w:type="dxa"/>
            <w:vAlign w:val="bottom"/>
          </w:tcPr>
          <w:p>
            <w:pPr>
              <w:jc w:val="right"/>
              <w:spacing w:after="0"/>
              <w:rPr>
                <w:sz w:val="20"/>
                <w:szCs w:val="20"/>
                <w:color w:val="auto"/>
              </w:rPr>
            </w:pPr>
            <w:r>
              <w:rPr>
                <w:rFonts w:ascii="Arial" w:cs="Arial" w:eastAsia="Arial" w:hAnsi="Arial"/>
                <w:sz w:val="18"/>
                <w:szCs w:val="18"/>
                <w:color w:val="auto"/>
              </w:rPr>
              <w:t>US$</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right="300"/>
        <w:spacing w:after="0" w:line="264" w:lineRule="auto"/>
        <w:rPr>
          <w:sz w:val="20"/>
          <w:szCs w:val="20"/>
          <w:color w:val="auto"/>
        </w:rPr>
      </w:pPr>
      <w:r>
        <w:rPr>
          <w:rFonts w:ascii="Arial" w:cs="Arial" w:eastAsia="Arial" w:hAnsi="Arial"/>
          <w:sz w:val="18"/>
          <w:szCs w:val="18"/>
          <w:color w:val="auto"/>
        </w:rPr>
        <w:t>The expected life of the SARs is based on historical data and current expectations and is not necessarily indicative of exercise patterns that may occur. The expected volatility reflects the assumption that the historical volatility over a period similar to the life of the SARs is indicative of future trends, which may also not necessarily be the actual outcome.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SARs for the years ended December 31, 2010 and 2009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SARs</w:t>
            </w:r>
          </w:p>
        </w:tc>
        <w:tc>
          <w:tcPr>
            <w:tcW w:w="208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Vested SARs</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SARs</w:t>
            </w:r>
          </w:p>
        </w:tc>
        <w:tc>
          <w:tcPr>
            <w:tcW w:w="20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Vested SARs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40" w:type="dxa"/>
            <w:vAlign w:val="bottom"/>
            <w:gridSpan w:val="2"/>
          </w:tcPr>
          <w:p>
            <w:pPr>
              <w:jc w:val="center"/>
              <w:ind w:right="140"/>
              <w:spacing w:after="0" w:line="201" w:lineRule="exact"/>
              <w:rPr>
                <w:sz w:val="20"/>
                <w:szCs w:val="20"/>
                <w:color w:val="auto"/>
              </w:rPr>
            </w:pPr>
            <w:r>
              <w:rPr>
                <w:rFonts w:ascii="Arial" w:cs="Arial" w:eastAsia="Arial" w:hAnsi="Arial"/>
                <w:sz w:val="18"/>
                <w:szCs w:val="18"/>
                <w:b w:val="1"/>
                <w:bCs w:val="1"/>
                <w:color w:val="auto"/>
                <w:w w:val="94"/>
              </w:rPr>
              <w:t>Number</w:t>
            </w:r>
          </w:p>
        </w:tc>
        <w:tc>
          <w:tcPr>
            <w:tcW w:w="104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b w:val="1"/>
                <w:bCs w:val="1"/>
                <w:color w:val="auto"/>
              </w:rPr>
              <w:t>Number</w:t>
            </w:r>
          </w:p>
        </w:tc>
        <w:tc>
          <w:tcPr>
            <w:tcW w:w="8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7"/>
                <w:szCs w:val="17"/>
                <w:color w:val="auto"/>
              </w:rPr>
            </w:pPr>
          </w:p>
        </w:tc>
        <w:tc>
          <w:tcPr>
            <w:tcW w:w="1120" w:type="dxa"/>
            <w:vAlign w:val="bottom"/>
            <w:gridSpan w:val="2"/>
          </w:tcPr>
          <w:p>
            <w:pPr>
              <w:jc w:val="center"/>
              <w:ind w:right="160"/>
              <w:spacing w:after="0" w:line="201" w:lineRule="exact"/>
              <w:rPr>
                <w:sz w:val="20"/>
                <w:szCs w:val="20"/>
                <w:color w:val="auto"/>
              </w:rPr>
            </w:pPr>
            <w:r>
              <w:rPr>
                <w:rFonts w:ascii="Arial" w:cs="Arial" w:eastAsia="Arial" w:hAnsi="Arial"/>
                <w:sz w:val="18"/>
                <w:szCs w:val="18"/>
                <w:b w:val="1"/>
                <w:bCs w:val="1"/>
                <w:color w:val="auto"/>
                <w:w w:val="94"/>
              </w:rPr>
              <w:t>Number</w:t>
            </w:r>
          </w:p>
        </w:tc>
        <w:tc>
          <w:tcPr>
            <w:tcW w:w="1040" w:type="dxa"/>
            <w:vAlign w:val="bottom"/>
            <w:tcBorders>
              <w:top w:val="single" w:sz="8" w:color="auto"/>
            </w:tcBorders>
            <w:gridSpan w:val="2"/>
          </w:tcPr>
          <w:p>
            <w:pPr>
              <w:jc w:val="right"/>
              <w:ind w:right="280"/>
              <w:spacing w:after="0" w:line="201" w:lineRule="exact"/>
              <w:rPr>
                <w:sz w:val="20"/>
                <w:szCs w:val="20"/>
                <w:color w:val="auto"/>
              </w:rPr>
            </w:pPr>
            <w:r>
              <w:rPr>
                <w:rFonts w:ascii="Arial" w:cs="Arial" w:eastAsia="Arial" w:hAnsi="Arial"/>
                <w:sz w:val="18"/>
                <w:szCs w:val="18"/>
                <w:b w:val="1"/>
                <w:bCs w:val="1"/>
                <w:color w:val="auto"/>
              </w:rPr>
              <w:t>Number</w:t>
            </w:r>
          </w:p>
        </w:tc>
        <w:tc>
          <w:tcPr>
            <w:tcW w:w="8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January 1</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1,147,463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1,038,276</w:t>
            </w:r>
          </w:p>
        </w:tc>
        <w:tc>
          <w:tcPr>
            <w:tcW w:w="160" w:type="dxa"/>
            <w:vAlign w:val="bottom"/>
            <w:shd w:val="clear" w:color="auto" w:fill="CCFFCC"/>
          </w:tcPr>
          <w:p>
            <w:pPr>
              <w:spacing w:after="0"/>
              <w:rPr>
                <w:sz w:val="18"/>
                <w:szCs w:val="18"/>
                <w:color w:val="auto"/>
              </w:rPr>
            </w:pP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60,488</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2,215,225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1,617,818</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SARs Modification (*)</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(451,143)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(451,143)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88,683</w:t>
            </w: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8,451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366,845</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(349,260)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(349,260)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(28,272)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(495,244)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(495,244)</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20"/>
                <w:szCs w:val="20"/>
                <w:color w:val="auto"/>
              </w:rPr>
            </w:pPr>
            <w:r>
              <w:rPr>
                <w:rFonts w:ascii="Arial" w:cs="Arial" w:eastAsia="Arial" w:hAnsi="Arial"/>
                <w:sz w:val="18"/>
                <w:szCs w:val="18"/>
                <w:color w:val="auto"/>
              </w:rPr>
              <w:t>Decrease</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(3,048)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(121,375)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Increase in the option fair value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36,322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795,155</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777,699</w:t>
            </w: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76,989</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1,147,463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1,038,276</w:t>
            </w:r>
          </w:p>
        </w:tc>
        <w:tc>
          <w:tcPr>
            <w:tcW w:w="16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right="140" w:hanging="658"/>
        <w:spacing w:after="0" w:line="277" w:lineRule="auto"/>
        <w:tabs>
          <w:tab w:leader="none" w:pos="18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April 2009, the number of outstanding SARs and their exercise prices were modified; these changes did not have an impact on the recorded liability.</w:t>
      </w:r>
    </w:p>
    <w:p>
      <w:pPr>
        <w:spacing w:after="0" w:line="170" w:lineRule="exact"/>
        <w:rPr>
          <w:sz w:val="20"/>
          <w:szCs w:val="20"/>
          <w:color w:val="auto"/>
        </w:rPr>
      </w:pPr>
    </w:p>
    <w:p>
      <w:pPr>
        <w:ind w:left="1140" w:right="1200"/>
        <w:spacing w:after="0" w:line="308" w:lineRule="auto"/>
        <w:rPr>
          <w:sz w:val="20"/>
          <w:szCs w:val="20"/>
          <w:color w:val="auto"/>
        </w:rPr>
      </w:pPr>
      <w:r>
        <w:rPr>
          <w:rFonts w:ascii="Arial" w:cs="Arial" w:eastAsia="Arial" w:hAnsi="Arial"/>
          <w:sz w:val="17"/>
          <w:szCs w:val="17"/>
          <w:color w:val="auto"/>
        </w:rPr>
        <w:t>Credicorp assumes the payment of the related income tax on behalf of its employees, which corresponds to 30 percent of the benefit. Credicorp estimates said income tax over the basis of the liability recorded for the vested benefits.</w:t>
      </w:r>
    </w:p>
    <w:p>
      <w:pPr>
        <w:spacing w:after="0" w:line="147" w:lineRule="exact"/>
        <w:rPr>
          <w:sz w:val="20"/>
          <w:szCs w:val="20"/>
          <w:color w:val="auto"/>
        </w:rPr>
      </w:pPr>
    </w:p>
    <w:p>
      <w:pPr>
        <w:jc w:val="both"/>
        <w:ind w:left="1140" w:right="240"/>
        <w:spacing w:after="0" w:line="312" w:lineRule="auto"/>
        <w:rPr>
          <w:sz w:val="20"/>
          <w:szCs w:val="20"/>
          <w:color w:val="auto"/>
        </w:rPr>
      </w:pPr>
      <w:r>
        <w:rPr>
          <w:rFonts w:ascii="Arial" w:cs="Arial" w:eastAsia="Arial" w:hAnsi="Arial"/>
          <w:sz w:val="16"/>
          <w:szCs w:val="16"/>
          <w:color w:val="auto"/>
        </w:rPr>
        <w:t>The liabilities, recorded for this plan, including the above mentioned income tax, are included in the consolidated statements of financial position caption “Other liabilities – Payroll taxes, salaries and other personnel expenses”, note 11(a), and the expenses in the consolidated income statement caption “Salaries and employees benefits”. Modifications to SARs prices were informed to the Group’s employees.</w:t>
      </w:r>
    </w:p>
    <w:p>
      <w:pPr>
        <w:spacing w:after="0" w:line="147"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During 2009 and 2008, the Group signed several contracts by which it acquired certificates linked to the yield of Credicorp’s shares, see note 7(b).</w:t>
      </w:r>
    </w:p>
    <w:p>
      <w:pPr>
        <w:spacing w:after="0" w:line="170" w:lineRule="exact"/>
        <w:rPr>
          <w:sz w:val="20"/>
          <w:szCs w:val="20"/>
          <w:color w:val="auto"/>
        </w:rPr>
      </w:pPr>
    </w:p>
    <w:p>
      <w:pPr>
        <w:ind w:left="1160" w:hanging="652"/>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Stock awards (“equity-settled transaction”)</w:t>
      </w:r>
    </w:p>
    <w:p>
      <w:pPr>
        <w:spacing w:after="0" w:line="23" w:lineRule="exact"/>
        <w:rPr>
          <w:rFonts w:ascii="Arial" w:cs="Arial" w:eastAsia="Arial" w:hAnsi="Arial"/>
          <w:sz w:val="18"/>
          <w:szCs w:val="18"/>
          <w:color w:val="auto"/>
        </w:rPr>
      </w:pPr>
    </w:p>
    <w:p>
      <w:pPr>
        <w:ind w:left="1140" w:right="360"/>
        <w:spacing w:after="0" w:line="261" w:lineRule="auto"/>
        <w:rPr>
          <w:rFonts w:ascii="Arial" w:cs="Arial" w:eastAsia="Arial" w:hAnsi="Arial"/>
          <w:sz w:val="18"/>
          <w:szCs w:val="18"/>
          <w:color w:val="auto"/>
        </w:rPr>
      </w:pPr>
      <w:r>
        <w:rPr>
          <w:rFonts w:ascii="Arial" w:cs="Arial" w:eastAsia="Arial" w:hAnsi="Arial"/>
          <w:sz w:val="18"/>
          <w:szCs w:val="18"/>
          <w:color w:val="auto"/>
        </w:rPr>
        <w:t>Under this new plan, Credicorp grants its own shares to the plan beneficiaries. Shares granted will vest up to 33.3 percent of all granted shares in each one of the subsequent three years to the grant date (April of each year).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83" w:right="35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40"/>
        <w:spacing w:after="0" w:line="302" w:lineRule="auto"/>
        <w:rPr>
          <w:sz w:val="20"/>
          <w:szCs w:val="20"/>
          <w:color w:val="auto"/>
        </w:rPr>
      </w:pPr>
      <w:r>
        <w:rPr>
          <w:rFonts w:ascii="Arial" w:cs="Arial" w:eastAsia="Arial" w:hAnsi="Arial"/>
          <w:sz w:val="16"/>
          <w:szCs w:val="16"/>
          <w:color w:val="auto"/>
        </w:rPr>
        <w:t>The fair value of stock awards granted is estimated at the grant date using a binomial pricing model with similar key assumptions as those used for the valuation of SARs (see paragraph (a) above), taking into account the terms and conditions upon which the shares were granted. Credicorp assumes the payment of the related income tax on behalf of its employees, which corresponds to 30 percent of the benefit. Credicorp estimates said income tax over the basis of the fair value of the shares granted at the grant date.</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Stock Awards for the years ended December 31, 2010 and 2009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Vested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320" w:type="dxa"/>
            <w:vAlign w:val="bottom"/>
            <w:gridSpan w:val="3"/>
          </w:tcPr>
          <w:p>
            <w:pPr>
              <w:ind w:left="1000"/>
              <w:spacing w:after="0"/>
              <w:rPr>
                <w:sz w:val="20"/>
                <w:szCs w:val="20"/>
                <w:color w:val="auto"/>
              </w:rPr>
            </w:pPr>
            <w:r>
              <w:rPr>
                <w:rFonts w:ascii="Arial" w:cs="Arial" w:eastAsia="Arial" w:hAnsi="Arial"/>
                <w:sz w:val="18"/>
                <w:szCs w:val="18"/>
                <w:b w:val="1"/>
                <w:bCs w:val="1"/>
                <w:color w:val="auto"/>
                <w:w w:val="99"/>
              </w:rPr>
              <w:t>Granted stocks</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Expense</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Granted in 2009</w:t>
            </w:r>
          </w:p>
        </w:tc>
        <w:tc>
          <w:tcPr>
            <w:tcW w:w="23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227,000</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11,487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Vested in 2009</w:t>
            </w:r>
          </w:p>
        </w:tc>
        <w:tc>
          <w:tcPr>
            <w:tcW w:w="1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104,042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5,850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2009</w:t>
            </w:r>
          </w:p>
        </w:tc>
        <w:tc>
          <w:tcPr>
            <w:tcW w:w="100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227,000</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104,042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5,850</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Granted in 2010</w:t>
            </w:r>
          </w:p>
        </w:tc>
        <w:tc>
          <w:tcPr>
            <w:tcW w:w="2320" w:type="dxa"/>
            <w:vAlign w:val="bottom"/>
            <w:gridSpan w:val="3"/>
          </w:tcPr>
          <w:p>
            <w:pPr>
              <w:jc w:val="right"/>
              <w:ind w:right="160"/>
              <w:spacing w:after="0"/>
              <w:rPr>
                <w:sz w:val="20"/>
                <w:szCs w:val="20"/>
                <w:color w:val="auto"/>
              </w:rPr>
            </w:pPr>
            <w:r>
              <w:rPr>
                <w:rFonts w:ascii="Arial" w:cs="Arial" w:eastAsia="Arial" w:hAnsi="Arial"/>
                <w:sz w:val="18"/>
                <w:szCs w:val="18"/>
                <w:color w:val="auto"/>
              </w:rPr>
              <w:t>169,658</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Vested in 2010 (2009)</w:t>
            </w:r>
          </w:p>
        </w:tc>
        <w:tc>
          <w:tcPr>
            <w:tcW w:w="2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81,972</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3,563</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Vested in 2010 (2010)</w:t>
            </w:r>
          </w:p>
        </w:tc>
        <w:tc>
          <w:tcPr>
            <w:tcW w:w="1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77,760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7,639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2010</w:t>
            </w:r>
          </w:p>
        </w:tc>
        <w:tc>
          <w:tcPr>
            <w:tcW w:w="100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396,658</w:t>
            </w:r>
          </w:p>
        </w:tc>
        <w:tc>
          <w:tcPr>
            <w:tcW w:w="16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263,774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17,052</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83" w:right="57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60" w:type="dxa"/>
            <w:vAlign w:val="bottom"/>
            <w:gridSpan w:val="3"/>
          </w:tcPr>
          <w:p>
            <w:pPr>
              <w:spacing w:after="0"/>
              <w:rPr>
                <w:sz w:val="20"/>
                <w:szCs w:val="20"/>
                <w:color w:val="auto"/>
              </w:rPr>
            </w:pPr>
            <w:r>
              <w:rPr>
                <w:rFonts w:ascii="Arial" w:cs="Arial" w:eastAsia="Arial" w:hAnsi="Arial"/>
                <w:sz w:val="18"/>
                <w:szCs w:val="18"/>
                <w:b w:val="1"/>
                <w:bCs w:val="1"/>
                <w:color w:val="auto"/>
              </w:rPr>
              <w:t>19.   Off-balance sheet accounts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5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 - indirect loans (b)</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900" w:type="dxa"/>
            <w:vAlign w:val="bottom"/>
          </w:tcPr>
          <w:p>
            <w:pPr>
              <w:jc w:val="right"/>
              <w:spacing w:after="0"/>
              <w:rPr>
                <w:sz w:val="20"/>
                <w:szCs w:val="20"/>
                <w:color w:val="auto"/>
              </w:rPr>
            </w:pPr>
            <w:r>
              <w:rPr>
                <w:rFonts w:ascii="Arial" w:cs="Arial" w:eastAsia="Arial" w:hAnsi="Arial"/>
                <w:sz w:val="18"/>
                <w:szCs w:val="18"/>
                <w:color w:val="auto"/>
              </w:rPr>
              <w:t>2,718,200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2,108,761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417,011</w:t>
            </w:r>
          </w:p>
        </w:tc>
        <w:tc>
          <w:tcPr>
            <w:tcW w:w="16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419,374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3,135,211</w:t>
            </w: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2,528,135</w:t>
            </w: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8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Held for trading, note 11(b)</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Forward currency contracts - buy</w:t>
            </w:r>
          </w:p>
        </w:tc>
        <w:tc>
          <w:tcPr>
            <w:tcW w:w="900" w:type="dxa"/>
            <w:vAlign w:val="bottom"/>
          </w:tcPr>
          <w:p>
            <w:pPr>
              <w:jc w:val="right"/>
              <w:spacing w:after="0"/>
              <w:rPr>
                <w:sz w:val="20"/>
                <w:szCs w:val="20"/>
                <w:color w:val="auto"/>
              </w:rPr>
            </w:pPr>
            <w:r>
              <w:rPr>
                <w:rFonts w:ascii="Arial" w:cs="Arial" w:eastAsia="Arial" w:hAnsi="Arial"/>
                <w:sz w:val="18"/>
                <w:szCs w:val="18"/>
                <w:color w:val="auto"/>
              </w:rPr>
              <w:t>1,794,215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Forward currency contracts - sell</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833,980</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1,232,408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tcPr>
          <w:p>
            <w:pPr>
              <w:jc w:val="right"/>
              <w:spacing w:after="0"/>
              <w:rPr>
                <w:sz w:val="20"/>
                <w:szCs w:val="20"/>
                <w:color w:val="auto"/>
              </w:rPr>
            </w:pPr>
            <w:r>
              <w:rPr>
                <w:rFonts w:ascii="Arial" w:cs="Arial" w:eastAsia="Arial" w:hAnsi="Arial"/>
                <w:sz w:val="18"/>
                <w:szCs w:val="18"/>
                <w:color w:val="auto"/>
              </w:rPr>
              <w:t>699,800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618,006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463,104</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435,518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103,616</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24,374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Held as hedges, note 11(b)</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Cash flow hedge: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999,672</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1,375,198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Cross currency swaps</w:t>
            </w:r>
          </w:p>
        </w:tc>
        <w:tc>
          <w:tcPr>
            <w:tcW w:w="900" w:type="dxa"/>
            <w:vAlign w:val="bottom"/>
          </w:tcPr>
          <w:p>
            <w:pPr>
              <w:jc w:val="right"/>
              <w:spacing w:after="0"/>
              <w:rPr>
                <w:sz w:val="20"/>
                <w:szCs w:val="20"/>
                <w:color w:val="auto"/>
              </w:rPr>
            </w:pPr>
            <w:r>
              <w:rPr>
                <w:rFonts w:ascii="Arial" w:cs="Arial" w:eastAsia="Arial" w:hAnsi="Arial"/>
                <w:sz w:val="18"/>
                <w:szCs w:val="18"/>
                <w:color w:val="auto"/>
              </w:rPr>
              <w:t>139,549</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127,195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 and interest rate swaps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113,362</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113,362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71,180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Fair value hedge:</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Interest rate swap</w:t>
            </w:r>
          </w:p>
        </w:tc>
        <w:tc>
          <w:tcPr>
            <w:tcW w:w="900" w:type="dxa"/>
            <w:vAlign w:val="bottom"/>
          </w:tcPr>
          <w:p>
            <w:pPr>
              <w:jc w:val="right"/>
              <w:spacing w:after="0"/>
              <w:rPr>
                <w:sz w:val="20"/>
                <w:szCs w:val="20"/>
                <w:color w:val="auto"/>
              </w:rPr>
            </w:pPr>
            <w:r>
              <w:rPr>
                <w:rFonts w:ascii="Arial" w:cs="Arial" w:eastAsia="Arial" w:hAnsi="Arial"/>
                <w:sz w:val="18"/>
                <w:szCs w:val="18"/>
                <w:color w:val="auto"/>
              </w:rPr>
              <w:t>54,560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55,047</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318,325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2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5,201,858</w:t>
            </w: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5,752,586</w:t>
            </w: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8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Responsibilities under credit lines agreements (c)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2,449,807</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8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10,786,876</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652"/>
        <w:spacing w:after="0" w:line="308" w:lineRule="auto"/>
        <w:tabs>
          <w:tab w:leader="none" w:pos="11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the normal course of its business, the Group’s banking subsidiaries are party to transactions with off-balance sheet risk. These transactions expose them to credit risk in addition to the amounts recognized in the consolidated statements of financial position.</w:t>
      </w:r>
    </w:p>
    <w:p>
      <w:pPr>
        <w:spacing w:after="0" w:line="146" w:lineRule="exact"/>
        <w:rPr>
          <w:rFonts w:ascii="Arial" w:cs="Arial" w:eastAsia="Arial" w:hAnsi="Arial"/>
          <w:sz w:val="17"/>
          <w:szCs w:val="17"/>
          <w:color w:val="auto"/>
        </w:rPr>
      </w:pPr>
    </w:p>
    <w:p>
      <w:pPr>
        <w:ind w:left="1140"/>
        <w:spacing w:after="0" w:line="293" w:lineRule="auto"/>
        <w:rPr>
          <w:rFonts w:ascii="Arial" w:cs="Arial" w:eastAsia="Arial" w:hAnsi="Arial"/>
          <w:sz w:val="17"/>
          <w:szCs w:val="17"/>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amounts specified in the related contracts. The Group applies the same credit policies in making commitments and conditional obligations as it does for on-balance sheet instruments (note 6(a)),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right="260" w:hanging="652"/>
        <w:spacing w:after="0" w:line="277" w:lineRule="auto"/>
        <w:tabs>
          <w:tab w:leader="none" w:pos="11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166" w:lineRule="exact"/>
        <w:rPr>
          <w:rFonts w:ascii="Arial" w:cs="Arial" w:eastAsia="Arial" w:hAnsi="Arial"/>
          <w:sz w:val="18"/>
          <w:szCs w:val="18"/>
          <w:color w:val="auto"/>
        </w:rPr>
      </w:pPr>
    </w:p>
    <w:p>
      <w:pPr>
        <w:ind w:left="500" w:right="7000" w:hanging="492"/>
        <w:spacing w:after="0" w:line="282" w:lineRule="auto"/>
        <w:tabs>
          <w:tab w:leader="none" w:pos="5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and dividend income and interest expenses </w:t>
      </w:r>
      <w:r>
        <w:rPr>
          <w:rFonts w:ascii="Arial" w:cs="Arial" w:eastAsia="Arial" w:hAnsi="Arial"/>
          <w:sz w:val="18"/>
          <w:szCs w:val="18"/>
          <w:color w:val="auto"/>
        </w:rPr>
        <w:t>These items are made up as follow:</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on 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1,218,728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1,062,046</w:t>
            </w:r>
          </w:p>
        </w:tc>
        <w:tc>
          <w:tcPr>
            <w:tcW w:w="1000" w:type="dxa"/>
            <w:vAlign w:val="bottom"/>
          </w:tcPr>
          <w:p>
            <w:pPr>
              <w:jc w:val="right"/>
              <w:spacing w:after="0"/>
              <w:rPr>
                <w:sz w:val="20"/>
                <w:szCs w:val="20"/>
                <w:color w:val="auto"/>
              </w:rPr>
            </w:pPr>
            <w:r>
              <w:rPr>
                <w:rFonts w:ascii="Arial" w:cs="Arial" w:eastAsia="Arial" w:hAnsi="Arial"/>
                <w:sz w:val="18"/>
                <w:szCs w:val="18"/>
                <w:color w:val="auto"/>
              </w:rPr>
              <w:t>963,940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Interest on investments available-for-sale</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191,971</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183,309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296,853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on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32,337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15,918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Interest on trading securities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4,824</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3,320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11,615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9,715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Other interest income</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12,233</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38,617</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1,471,708</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1,312,925</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1,382,844</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Interest expenses</w:t>
            </w: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Interest on deposits and obligations</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(156,106)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(226,875)</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on bonds and notes issued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(124,311)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(91,319)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(90,083)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Interest on due to banks and correspondents</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(43,532)</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(27,328)</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Loss from hedging derivatives instruments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(25,692)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(10,593)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Other interest expenses</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(64,480)</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(64,449)</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(414,121)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(420,564)</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(561,617)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During 2010, 2009 and 2008, the interest income accrued on impaired financial instruments recognized in the consolidated income statement amounted to US$7.2, US$5.0 and US$4.7 million, respectively.</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tab/>
        <w:t>Banking services commissions</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This item is made up as follows: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Maintenance of accounts and transfers and credit and debit card services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251,840</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196,642</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180,512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Funds management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125,605</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100,160</w:t>
            </w:r>
          </w:p>
        </w:tc>
        <w:tc>
          <w:tcPr>
            <w:tcW w:w="1000" w:type="dxa"/>
            <w:vAlign w:val="bottom"/>
          </w:tcPr>
          <w:p>
            <w:pPr>
              <w:jc w:val="right"/>
              <w:spacing w:after="0"/>
              <w:rPr>
                <w:sz w:val="20"/>
                <w:szCs w:val="20"/>
                <w:color w:val="auto"/>
              </w:rPr>
            </w:pPr>
            <w:r>
              <w:rPr>
                <w:rFonts w:ascii="Arial" w:cs="Arial" w:eastAsia="Arial" w:hAnsi="Arial"/>
                <w:sz w:val="18"/>
                <w:szCs w:val="18"/>
                <w:color w:val="auto"/>
              </w:rPr>
              <w:t>102,760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Collection services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49,836</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42,841</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Contingent loans fees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43,781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33,339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Commissions for banking services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22,038</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14,657</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Brokerage and custody services</w:t>
            </w:r>
          </w:p>
        </w:tc>
        <w:tc>
          <w:tcPr>
            <w:tcW w:w="1020" w:type="dxa"/>
            <w:vAlign w:val="bottom"/>
          </w:tcPr>
          <w:p>
            <w:pPr>
              <w:jc w:val="right"/>
              <w:spacing w:after="0"/>
              <w:rPr>
                <w:sz w:val="20"/>
                <w:szCs w:val="20"/>
                <w:color w:val="auto"/>
              </w:rPr>
            </w:pPr>
            <w:r>
              <w:rPr>
                <w:rFonts w:ascii="Arial" w:cs="Arial" w:eastAsia="Arial" w:hAnsi="Arial"/>
                <w:sz w:val="18"/>
                <w:szCs w:val="18"/>
                <w:color w:val="auto"/>
              </w:rPr>
              <w:t>7,473</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24,322</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39,050</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524,895</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436,819</w:t>
            </w:r>
          </w:p>
        </w:tc>
        <w:tc>
          <w:tcPr>
            <w:tcW w:w="1000" w:type="dxa"/>
            <w:vAlign w:val="bottom"/>
          </w:tcPr>
          <w:p>
            <w:pPr>
              <w:jc w:val="right"/>
              <w:spacing w:after="0"/>
              <w:rPr>
                <w:sz w:val="20"/>
                <w:szCs w:val="20"/>
                <w:color w:val="auto"/>
              </w:rPr>
            </w:pPr>
            <w:r>
              <w:rPr>
                <w:rFonts w:ascii="Arial" w:cs="Arial" w:eastAsia="Arial" w:hAnsi="Arial"/>
                <w:sz w:val="18"/>
                <w:szCs w:val="18"/>
                <w:color w:val="auto"/>
              </w:rPr>
              <w:t>394,247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This item is made up as follows: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Premiums ceded</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Assumed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to reinsurers, net</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from other</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Net premiums</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of assumed net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38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4"/>
              </w:rPr>
              <w:t>premiums (*)</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companies, net</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earned</w:t>
            </w: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premiums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2010</w:t>
            </w:r>
          </w:p>
        </w:tc>
        <w:tc>
          <w:tcPr>
            <w:tcW w:w="1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Life insurance</w:t>
            </w:r>
          </w:p>
        </w:tc>
        <w:tc>
          <w:tcPr>
            <w:tcW w:w="2380" w:type="dxa"/>
            <w:vAlign w:val="bottom"/>
            <w:gridSpan w:val="3"/>
          </w:tcPr>
          <w:p>
            <w:pPr>
              <w:ind w:left="1720"/>
              <w:spacing w:after="0"/>
              <w:rPr>
                <w:sz w:val="20"/>
                <w:szCs w:val="20"/>
                <w:color w:val="auto"/>
              </w:rPr>
            </w:pPr>
            <w:r>
              <w:rPr>
                <w:rFonts w:ascii="Arial" w:cs="Arial" w:eastAsia="Arial" w:hAnsi="Arial"/>
                <w:sz w:val="18"/>
                <w:szCs w:val="18"/>
                <w:color w:val="auto"/>
                <w:w w:val="98"/>
              </w:rPr>
              <w:t>156,611</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(7,544)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149,067</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228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w w:val="86"/>
              </w:rPr>
              <w:t>203,635</w:t>
            </w:r>
          </w:p>
        </w:tc>
        <w:tc>
          <w:tcPr>
            <w:tcW w:w="100" w:type="dxa"/>
            <w:vAlign w:val="bottom"/>
            <w:shd w:val="clear" w:color="auto" w:fill="CCFFCC"/>
          </w:tcPr>
          <w:p>
            <w:pPr>
              <w:spacing w:after="0"/>
              <w:rPr>
                <w:sz w:val="18"/>
                <w:szCs w:val="18"/>
                <w:color w:val="auto"/>
              </w:rPr>
            </w:pPr>
          </w:p>
        </w:tc>
        <w:tc>
          <w:tcPr>
            <w:tcW w:w="15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(2,817)</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3,355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204,173</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General insurance</w:t>
            </w:r>
          </w:p>
        </w:tc>
        <w:tc>
          <w:tcPr>
            <w:tcW w:w="2280" w:type="dxa"/>
            <w:vAlign w:val="bottom"/>
            <w:gridSpan w:val="2"/>
          </w:tcPr>
          <w:p>
            <w:pPr>
              <w:ind w:left="1700"/>
              <w:spacing w:after="0"/>
              <w:rPr>
                <w:sz w:val="20"/>
                <w:szCs w:val="20"/>
                <w:color w:val="auto"/>
              </w:rPr>
            </w:pPr>
            <w:r>
              <w:rPr>
                <w:rFonts w:ascii="Arial" w:cs="Arial" w:eastAsia="Arial" w:hAnsi="Arial"/>
                <w:sz w:val="18"/>
                <w:szCs w:val="18"/>
                <w:color w:val="auto"/>
                <w:w w:val="86"/>
              </w:rPr>
              <w:t>204,236</w:t>
            </w:r>
          </w:p>
        </w:tc>
        <w:tc>
          <w:tcPr>
            <w:tcW w:w="10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(84,935)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7,752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127,053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tcPr>
          <w:p>
            <w:pPr>
              <w:ind w:left="1700"/>
              <w:spacing w:after="0"/>
              <w:rPr>
                <w:sz w:val="20"/>
                <w:szCs w:val="20"/>
                <w:color w:val="auto"/>
              </w:rPr>
            </w:pPr>
            <w:r>
              <w:rPr>
                <w:rFonts w:ascii="Arial" w:cs="Arial" w:eastAsia="Arial" w:hAnsi="Arial"/>
                <w:sz w:val="18"/>
                <w:szCs w:val="18"/>
                <w:color w:val="auto"/>
                <w:w w:val="86"/>
              </w:rPr>
              <w:t>564,482</w:t>
            </w:r>
          </w:p>
        </w:tc>
        <w:tc>
          <w:tcPr>
            <w:tcW w:w="10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(95,296)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11,107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480,293</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Life insurance</w:t>
            </w:r>
          </w:p>
        </w:tc>
        <w:tc>
          <w:tcPr>
            <w:tcW w:w="2280" w:type="dxa"/>
            <w:vAlign w:val="bottom"/>
            <w:gridSpan w:val="2"/>
          </w:tcPr>
          <w:p>
            <w:pPr>
              <w:ind w:left="1700"/>
              <w:spacing w:after="0"/>
              <w:rPr>
                <w:sz w:val="20"/>
                <w:szCs w:val="20"/>
                <w:color w:val="auto"/>
              </w:rPr>
            </w:pPr>
            <w:r>
              <w:rPr>
                <w:rFonts w:ascii="Arial" w:cs="Arial" w:eastAsia="Arial" w:hAnsi="Arial"/>
                <w:sz w:val="18"/>
                <w:szCs w:val="18"/>
                <w:color w:val="auto"/>
                <w:w w:val="86"/>
              </w:rPr>
              <w:t>127,569</w:t>
            </w:r>
          </w:p>
        </w:tc>
        <w:tc>
          <w:tcPr>
            <w:tcW w:w="10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(6,120)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121,449</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228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w w:val="86"/>
              </w:rPr>
              <w:t>174,396</w:t>
            </w:r>
          </w:p>
        </w:tc>
        <w:tc>
          <w:tcPr>
            <w:tcW w:w="100" w:type="dxa"/>
            <w:vAlign w:val="bottom"/>
            <w:shd w:val="clear" w:color="auto" w:fill="CCFFCC"/>
          </w:tcPr>
          <w:p>
            <w:pPr>
              <w:spacing w:after="0"/>
              <w:rPr>
                <w:sz w:val="18"/>
                <w:szCs w:val="18"/>
                <w:color w:val="auto"/>
              </w:rPr>
            </w:pPr>
          </w:p>
        </w:tc>
        <w:tc>
          <w:tcPr>
            <w:tcW w:w="15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(2,536)</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2,967</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174,827</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General insurance</w:t>
            </w:r>
          </w:p>
        </w:tc>
        <w:tc>
          <w:tcPr>
            <w:tcW w:w="2280" w:type="dxa"/>
            <w:vAlign w:val="bottom"/>
            <w:gridSpan w:val="2"/>
          </w:tcPr>
          <w:p>
            <w:pPr>
              <w:ind w:left="1700"/>
              <w:spacing w:after="0"/>
              <w:rPr>
                <w:sz w:val="20"/>
                <w:szCs w:val="20"/>
                <w:color w:val="auto"/>
              </w:rPr>
            </w:pPr>
            <w:r>
              <w:rPr>
                <w:rFonts w:ascii="Arial" w:cs="Arial" w:eastAsia="Arial" w:hAnsi="Arial"/>
                <w:sz w:val="18"/>
                <w:szCs w:val="18"/>
                <w:color w:val="auto"/>
                <w:w w:val="86"/>
              </w:rPr>
              <w:t>232,369</w:t>
            </w:r>
          </w:p>
        </w:tc>
        <w:tc>
          <w:tcPr>
            <w:tcW w:w="100" w:type="dxa"/>
            <w:vAlign w:val="bottom"/>
          </w:tcPr>
          <w:p>
            <w:pPr>
              <w:spacing w:after="0"/>
              <w:rPr>
                <w:sz w:val="19"/>
                <w:szCs w:val="19"/>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(110,613)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6,650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128,406</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80" w:type="dxa"/>
            <w:vAlign w:val="bottom"/>
            <w:gridSpan w:val="2"/>
          </w:tcPr>
          <w:p>
            <w:pPr>
              <w:ind w:left="1700"/>
              <w:spacing w:after="0"/>
              <w:rPr>
                <w:sz w:val="20"/>
                <w:szCs w:val="20"/>
                <w:color w:val="auto"/>
              </w:rPr>
            </w:pPr>
            <w:r>
              <w:rPr>
                <w:rFonts w:ascii="Arial" w:cs="Arial" w:eastAsia="Arial" w:hAnsi="Arial"/>
                <w:sz w:val="18"/>
                <w:szCs w:val="18"/>
                <w:color w:val="auto"/>
                <w:w w:val="86"/>
              </w:rPr>
              <w:t>534,334</w:t>
            </w:r>
          </w:p>
        </w:tc>
        <w:tc>
          <w:tcPr>
            <w:tcW w:w="10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(119,269)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9,617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424,682</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2380" w:type="dxa"/>
            <w:vAlign w:val="bottom"/>
            <w:gridSpan w:val="3"/>
            <w:shd w:val="clear" w:color="auto" w:fill="CCFFCC"/>
          </w:tcPr>
          <w:p>
            <w:pPr>
              <w:ind w:left="1720"/>
              <w:spacing w:after="0"/>
              <w:rPr>
                <w:sz w:val="20"/>
                <w:szCs w:val="20"/>
                <w:color w:val="auto"/>
              </w:rPr>
            </w:pPr>
            <w:r>
              <w:rPr>
                <w:rFonts w:ascii="Arial" w:cs="Arial" w:eastAsia="Arial" w:hAnsi="Arial"/>
                <w:sz w:val="18"/>
                <w:szCs w:val="18"/>
                <w:color w:val="auto"/>
                <w:w w:val="98"/>
              </w:rPr>
              <w:t>110,730</w:t>
            </w:r>
          </w:p>
        </w:tc>
        <w:tc>
          <w:tcPr>
            <w:tcW w:w="15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(2,484)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108,252</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Health insurance</w:t>
            </w:r>
          </w:p>
        </w:tc>
        <w:tc>
          <w:tcPr>
            <w:tcW w:w="2280" w:type="dxa"/>
            <w:vAlign w:val="bottom"/>
            <w:gridSpan w:val="2"/>
          </w:tcPr>
          <w:p>
            <w:pPr>
              <w:ind w:left="1700"/>
              <w:spacing w:after="0"/>
              <w:rPr>
                <w:sz w:val="20"/>
                <w:szCs w:val="20"/>
                <w:color w:val="auto"/>
              </w:rPr>
            </w:pPr>
            <w:r>
              <w:rPr>
                <w:rFonts w:ascii="Arial" w:cs="Arial" w:eastAsia="Arial" w:hAnsi="Arial"/>
                <w:sz w:val="18"/>
                <w:szCs w:val="18"/>
                <w:color w:val="auto"/>
                <w:w w:val="86"/>
              </w:rPr>
              <w:t>169,410</w:t>
            </w:r>
          </w:p>
        </w:tc>
        <w:tc>
          <w:tcPr>
            <w:tcW w:w="10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(2,692)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166,718</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General insurance</w:t>
            </w:r>
          </w:p>
        </w:tc>
        <w:tc>
          <w:tcPr>
            <w:tcW w:w="2280" w:type="dxa"/>
            <w:vAlign w:val="bottom"/>
            <w:gridSpan w:val="2"/>
            <w:shd w:val="clear" w:color="auto" w:fill="CCFFCC"/>
          </w:tcPr>
          <w:p>
            <w:pPr>
              <w:ind w:left="1700"/>
              <w:spacing w:after="0"/>
              <w:rPr>
                <w:sz w:val="20"/>
                <w:szCs w:val="20"/>
                <w:color w:val="auto"/>
              </w:rPr>
            </w:pPr>
            <w:r>
              <w:rPr>
                <w:rFonts w:ascii="Arial" w:cs="Arial" w:eastAsia="Arial" w:hAnsi="Arial"/>
                <w:sz w:val="18"/>
                <w:szCs w:val="18"/>
                <w:color w:val="auto"/>
                <w:w w:val="86"/>
              </w:rPr>
              <w:t>218,563</w:t>
            </w:r>
          </w:p>
        </w:tc>
        <w:tc>
          <w:tcPr>
            <w:tcW w:w="100" w:type="dxa"/>
            <w:vAlign w:val="bottom"/>
            <w:shd w:val="clear" w:color="auto" w:fill="CCFFCC"/>
          </w:tcPr>
          <w:p>
            <w:pPr>
              <w:spacing w:after="0"/>
              <w:rPr>
                <w:sz w:val="19"/>
                <w:szCs w:val="19"/>
                <w:color w:val="auto"/>
              </w:rPr>
            </w:pPr>
          </w:p>
        </w:tc>
        <w:tc>
          <w:tcPr>
            <w:tcW w:w="1580" w:type="dxa"/>
            <w:vAlign w:val="bottom"/>
            <w:tcBorders>
              <w:righ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(105,431)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5,801</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118,933</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Borders>
              <w:top w:val="single" w:sz="8" w:color="CCFFCC"/>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CCFFCC"/>
          </w:tcPr>
          <w:p>
            <w:pPr>
              <w:spacing w:after="0"/>
              <w:rPr>
                <w:sz w:val="20"/>
                <w:szCs w:val="20"/>
                <w:color w:val="auto"/>
              </w:rPr>
            </w:pPr>
          </w:p>
        </w:tc>
        <w:tc>
          <w:tcPr>
            <w:tcW w:w="1020" w:type="dxa"/>
            <w:vAlign w:val="bottom"/>
            <w:shd w:val="clear" w:color="auto" w:fill="CCFFCC"/>
          </w:tcPr>
          <w:p>
            <w:pPr>
              <w:ind w:left="440"/>
              <w:spacing w:after="0"/>
              <w:rPr>
                <w:sz w:val="20"/>
                <w:szCs w:val="20"/>
                <w:color w:val="auto"/>
              </w:rPr>
            </w:pPr>
            <w:r>
              <w:rPr>
                <w:rFonts w:ascii="Arial" w:cs="Arial" w:eastAsia="Arial" w:hAnsi="Arial"/>
                <w:sz w:val="18"/>
                <w:szCs w:val="18"/>
                <w:color w:val="auto"/>
                <w:w w:val="86"/>
              </w:rPr>
              <w:t>498,703</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(110,607)</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5,807</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393,903</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hanging="556"/>
        <w:spacing w:after="0"/>
        <w:tabs>
          <w:tab w:leader="none" w:pos="11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Includes the annual variation of the technical and unearned premiums reserves.</w:t>
      </w:r>
    </w:p>
    <w:p>
      <w:pPr>
        <w:spacing w:after="0" w:line="23" w:lineRule="exact"/>
        <w:rPr>
          <w:sz w:val="20"/>
          <w:szCs w:val="20"/>
          <w:color w:val="auto"/>
        </w:rPr>
      </w:pPr>
    </w:p>
    <w:p>
      <w:pPr>
        <w:ind w:left="1140" w:hanging="646"/>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9" w:lineRule="exact"/>
        <w:rPr>
          <w:rFonts w:ascii="Arial" w:cs="Arial" w:eastAsia="Arial" w:hAnsi="Arial"/>
          <w:sz w:val="18"/>
          <w:szCs w:val="18"/>
          <w:color w:val="auto"/>
        </w:rPr>
      </w:pPr>
    </w:p>
    <w:p>
      <w:pPr>
        <w:ind w:left="1800" w:hanging="658"/>
        <w:spacing w:after="0"/>
        <w:tabs>
          <w:tab w:leader="none" w:pos="180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US$33.3 million for automatic contracts (mainly excess of loss) and reinstallation premiums (US$30.9 million in the year 2009).</w:t>
      </w:r>
    </w:p>
    <w:p>
      <w:pPr>
        <w:spacing w:after="0" w:line="32" w:lineRule="exact"/>
        <w:rPr>
          <w:rFonts w:ascii="Arial" w:cs="Arial" w:eastAsia="Arial" w:hAnsi="Arial"/>
          <w:sz w:val="16"/>
          <w:szCs w:val="16"/>
          <w:color w:val="auto"/>
        </w:rPr>
      </w:pPr>
    </w:p>
    <w:p>
      <w:pPr>
        <w:ind w:left="1800" w:right="140" w:hanging="658"/>
        <w:spacing w:after="0" w:line="261" w:lineRule="auto"/>
        <w:tabs>
          <w:tab w:leader="none" w:pos="180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US$94.4 million for facultative contracts and a gain of US$32.4 for unearned premiums ceded reserves (a loss of US$72.9 and US$15.4 million in the year 2009).</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483" w:right="59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right="4100" w:hanging="492"/>
        <w:spacing w:after="0" w:line="282" w:lineRule="auto"/>
        <w:tabs>
          <w:tab w:leader="none" w:pos="50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property and casualty and health insurance contracts </w:t>
      </w:r>
      <w:r>
        <w:rPr>
          <w:rFonts w:ascii="Arial" w:cs="Arial" w:eastAsia="Arial" w:hAnsi="Arial"/>
          <w:sz w:val="18"/>
          <w:szCs w:val="18"/>
          <w:color w:val="auto"/>
        </w:rPr>
        <w:t>This item is made up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2010</w:t>
            </w: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80" w:type="dxa"/>
            <w:vAlign w:val="bottom"/>
            <w:gridSpan w:val="2"/>
          </w:tcPr>
          <w:p>
            <w:pPr>
              <w:jc w:val="right"/>
              <w:ind w:right="860"/>
              <w:spacing w:after="0" w:line="198" w:lineRule="exact"/>
              <w:rPr>
                <w:sz w:val="20"/>
                <w:szCs w:val="20"/>
                <w:color w:val="auto"/>
              </w:rPr>
            </w:pPr>
            <w:r>
              <w:rPr>
                <w:rFonts w:ascii="Arial" w:cs="Arial" w:eastAsia="Arial" w:hAnsi="Arial"/>
                <w:sz w:val="18"/>
                <w:szCs w:val="18"/>
                <w:b w:val="1"/>
                <w:bCs w:val="1"/>
                <w:color w:val="auto"/>
              </w:rPr>
              <w:t>Life</w:t>
            </w:r>
          </w:p>
        </w:tc>
        <w:tc>
          <w:tcPr>
            <w:tcW w:w="2000" w:type="dxa"/>
            <w:vAlign w:val="bottom"/>
            <w:gridSpan w:val="3"/>
          </w:tcPr>
          <w:p>
            <w:pPr>
              <w:jc w:val="center"/>
              <w:ind w:right="420"/>
              <w:spacing w:after="0" w:line="198" w:lineRule="exact"/>
              <w:rPr>
                <w:sz w:val="20"/>
                <w:szCs w:val="20"/>
                <w:color w:val="auto"/>
              </w:rPr>
            </w:pPr>
            <w:r>
              <w:rPr>
                <w:rFonts w:ascii="Arial" w:cs="Arial" w:eastAsia="Arial" w:hAnsi="Arial"/>
                <w:sz w:val="18"/>
                <w:szCs w:val="18"/>
                <w:b w:val="1"/>
                <w:bCs w:val="1"/>
                <w:color w:val="auto"/>
                <w:w w:val="92"/>
              </w:rPr>
              <w:t>General</w:t>
            </w:r>
          </w:p>
        </w:tc>
        <w:tc>
          <w:tcPr>
            <w:tcW w:w="1540" w:type="dxa"/>
            <w:vAlign w:val="bottom"/>
            <w:gridSpan w:val="2"/>
          </w:tcPr>
          <w:p>
            <w:pPr>
              <w:jc w:val="right"/>
              <w:ind w:right="740"/>
              <w:spacing w:after="0" w:line="198" w:lineRule="exact"/>
              <w:rPr>
                <w:sz w:val="20"/>
                <w:szCs w:val="20"/>
                <w:color w:val="auto"/>
              </w:rPr>
            </w:pPr>
            <w:r>
              <w:rPr>
                <w:rFonts w:ascii="Arial" w:cs="Arial" w:eastAsia="Arial" w:hAnsi="Arial"/>
                <w:sz w:val="18"/>
                <w:szCs w:val="18"/>
                <w:b w:val="1"/>
                <w:bCs w:val="1"/>
                <w:color w:val="auto"/>
              </w:rPr>
              <w:t>Health</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insurance</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insurance</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insurance</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US$(000)</w:t>
            </w:r>
          </w:p>
        </w:tc>
        <w:tc>
          <w:tcPr>
            <w:tcW w:w="20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US$(000)</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102,821</w:t>
            </w:r>
          </w:p>
        </w:tc>
        <w:tc>
          <w:tcPr>
            <w:tcW w:w="20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82,763</w:t>
            </w:r>
          </w:p>
        </w:tc>
        <w:tc>
          <w:tcPr>
            <w:tcW w:w="22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161,606</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347,190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Ceded claims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(2,719)</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(27,849)</w:t>
            </w:r>
          </w:p>
        </w:tc>
        <w:tc>
          <w:tcPr>
            <w:tcW w:w="2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(31,618)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580" w:type="dxa"/>
            <w:vAlign w:val="bottom"/>
          </w:tcPr>
          <w:p>
            <w:pPr>
              <w:jc w:val="right"/>
              <w:spacing w:after="0"/>
              <w:rPr>
                <w:sz w:val="20"/>
                <w:szCs w:val="20"/>
                <w:color w:val="auto"/>
              </w:rPr>
            </w:pPr>
            <w:r>
              <w:rPr>
                <w:rFonts w:ascii="Arial" w:cs="Arial" w:eastAsia="Arial" w:hAnsi="Arial"/>
                <w:sz w:val="18"/>
                <w:szCs w:val="18"/>
                <w:color w:val="auto"/>
              </w:rPr>
              <w:t>100,102</w:t>
            </w:r>
          </w:p>
        </w:tc>
        <w:tc>
          <w:tcPr>
            <w:tcW w:w="2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54,914</w:t>
            </w: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160,556</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315,572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80" w:type="dxa"/>
            <w:vAlign w:val="bottom"/>
            <w:gridSpan w:val="2"/>
          </w:tcPr>
          <w:p>
            <w:pPr>
              <w:jc w:val="right"/>
              <w:ind w:right="860"/>
              <w:spacing w:after="0" w:line="198" w:lineRule="exact"/>
              <w:rPr>
                <w:sz w:val="20"/>
                <w:szCs w:val="20"/>
                <w:color w:val="auto"/>
              </w:rPr>
            </w:pPr>
            <w:r>
              <w:rPr>
                <w:rFonts w:ascii="Arial" w:cs="Arial" w:eastAsia="Arial" w:hAnsi="Arial"/>
                <w:sz w:val="18"/>
                <w:szCs w:val="18"/>
                <w:b w:val="1"/>
                <w:bCs w:val="1"/>
                <w:color w:val="auto"/>
              </w:rPr>
              <w:t>Life</w:t>
            </w:r>
          </w:p>
        </w:tc>
        <w:tc>
          <w:tcPr>
            <w:tcW w:w="1860" w:type="dxa"/>
            <w:vAlign w:val="bottom"/>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General</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insurance</w:t>
            </w: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insurance</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Health insurance</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US$(000)</w:t>
            </w: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US$(000)</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US$(000)</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80,971</w:t>
            </w:r>
          </w:p>
        </w:tc>
        <w:tc>
          <w:tcPr>
            <w:tcW w:w="20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108,397</w:t>
            </w:r>
          </w:p>
        </w:tc>
        <w:tc>
          <w:tcPr>
            <w:tcW w:w="8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148,985</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338,353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Ceded claims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(1,762)</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(49,149)</w:t>
            </w:r>
          </w:p>
        </w:tc>
        <w:tc>
          <w:tcPr>
            <w:tcW w:w="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(984)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(51,895)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580" w:type="dxa"/>
            <w:vAlign w:val="bottom"/>
          </w:tcPr>
          <w:p>
            <w:pPr>
              <w:jc w:val="right"/>
              <w:spacing w:after="0"/>
              <w:rPr>
                <w:sz w:val="20"/>
                <w:szCs w:val="20"/>
                <w:color w:val="auto"/>
              </w:rPr>
            </w:pPr>
            <w:r>
              <w:rPr>
                <w:rFonts w:ascii="Arial" w:cs="Arial" w:eastAsia="Arial" w:hAnsi="Arial"/>
                <w:sz w:val="18"/>
                <w:szCs w:val="18"/>
                <w:color w:val="auto"/>
              </w:rPr>
              <w:t>79,209</w:t>
            </w:r>
          </w:p>
        </w:tc>
        <w:tc>
          <w:tcPr>
            <w:tcW w:w="2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59,248</w:t>
            </w:r>
          </w:p>
        </w:tc>
        <w:tc>
          <w:tcPr>
            <w:tcW w:w="8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148,001</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286,458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80" w:type="dxa"/>
            <w:vAlign w:val="bottom"/>
            <w:gridSpan w:val="2"/>
          </w:tcPr>
          <w:p>
            <w:pPr>
              <w:jc w:val="right"/>
              <w:ind w:right="860"/>
              <w:spacing w:after="0" w:line="198" w:lineRule="exact"/>
              <w:rPr>
                <w:sz w:val="20"/>
                <w:szCs w:val="20"/>
                <w:color w:val="auto"/>
              </w:rPr>
            </w:pPr>
            <w:r>
              <w:rPr>
                <w:rFonts w:ascii="Arial" w:cs="Arial" w:eastAsia="Arial" w:hAnsi="Arial"/>
                <w:sz w:val="18"/>
                <w:szCs w:val="18"/>
                <w:b w:val="1"/>
                <w:bCs w:val="1"/>
                <w:color w:val="auto"/>
              </w:rPr>
              <w:t>Life</w:t>
            </w:r>
          </w:p>
        </w:tc>
        <w:tc>
          <w:tcPr>
            <w:tcW w:w="1860" w:type="dxa"/>
            <w:vAlign w:val="bottom"/>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General</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insurance</w:t>
            </w: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insurance</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Health insurance</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US$(000)</w:t>
            </w: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US$(000)</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US$(000)</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88,059</w:t>
            </w:r>
          </w:p>
        </w:tc>
        <w:tc>
          <w:tcPr>
            <w:tcW w:w="200" w:type="dxa"/>
            <w:vAlign w:val="bottom"/>
            <w:shd w:val="clear" w:color="auto" w:fill="CCFFCC"/>
          </w:tcPr>
          <w:p>
            <w:pPr>
              <w:spacing w:after="0"/>
              <w:rPr>
                <w:sz w:val="18"/>
                <w:szCs w:val="18"/>
                <w:color w:val="auto"/>
              </w:rPr>
            </w:pPr>
          </w:p>
        </w:tc>
        <w:tc>
          <w:tcPr>
            <w:tcW w:w="1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163,251</w:t>
            </w:r>
          </w:p>
        </w:tc>
        <w:tc>
          <w:tcPr>
            <w:tcW w:w="8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155,387</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406,697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Ceded claims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(1,693)</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(61,361)</w:t>
            </w:r>
          </w:p>
        </w:tc>
        <w:tc>
          <w:tcPr>
            <w:tcW w:w="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(1,733)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580" w:type="dxa"/>
            <w:vAlign w:val="bottom"/>
          </w:tcPr>
          <w:p>
            <w:pPr>
              <w:jc w:val="right"/>
              <w:spacing w:after="0"/>
              <w:rPr>
                <w:sz w:val="20"/>
                <w:szCs w:val="20"/>
                <w:color w:val="auto"/>
              </w:rPr>
            </w:pPr>
            <w:r>
              <w:rPr>
                <w:rFonts w:ascii="Arial" w:cs="Arial" w:eastAsia="Arial" w:hAnsi="Arial"/>
                <w:sz w:val="18"/>
                <w:szCs w:val="18"/>
                <w:color w:val="auto"/>
              </w:rPr>
              <w:t>86,366</w:t>
            </w:r>
          </w:p>
        </w:tc>
        <w:tc>
          <w:tcPr>
            <w:tcW w:w="20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101,890</w:t>
            </w:r>
          </w:p>
        </w:tc>
        <w:tc>
          <w:tcPr>
            <w:tcW w:w="8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153,654</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341,910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83" w:right="79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tab/>
        <w:t>Other income and expenses</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These items are made up as follow:</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from the sale of seized assets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5,373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4,092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Real estate rental income</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4,309</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4,035</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8,520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19,237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15,497</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30,668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32,144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37,672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Commissions from insurance activities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39,796</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42,701</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Sundry technical insurance expenses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17,413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13,574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11(d)</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8,440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14,425</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Provision for other accounts receivables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2,613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9,590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22,957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16,524</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expenses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91,219</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96,814</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The net earnings per ordinary share has been determined over the net income attributable to equity holders of Credicorp as follows:</w:t>
      </w:r>
    </w:p>
    <w:p>
      <w:pPr>
        <w:spacing w:after="0" w:line="218"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3"/>
              </w:rPr>
              <w:t>Net income attributable to equity holders of Credicorp (in thousands of U.S. Dollars)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571,302</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469,785</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357,756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w:t>
            </w: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Ordinary shares, note 16(a)</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94,382,317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94,382,317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Less - treasury shares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(14,847,842)</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(14,620,842)</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(14,620,842)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Acquisition of treasury shares, net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(70,494)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(170,250)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79,463,981</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79,591,225</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Plus - effect of dilution</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201,168</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72,243</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Stock awards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ordinary shares adjusted for the effect of dilution</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79,665,149</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79,663,468</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earnings per share (in U.S. Dollars)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7.19</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5.90</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Diluted earnings per share (in U.S. Dollars)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83" w:right="79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For management purposes, the Group is organized into four operating segments based on products and services as follows:</w:t>
      </w:r>
    </w:p>
    <w:p>
      <w:pPr>
        <w:spacing w:after="0" w:line="21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Banking -</w:t>
      </w:r>
    </w:p>
    <w:p>
      <w:pPr>
        <w:spacing w:after="0" w:line="23" w:lineRule="exact"/>
        <w:rPr>
          <w:rFonts w:ascii="Arial" w:cs="Arial" w:eastAsia="Arial" w:hAnsi="Arial"/>
          <w:sz w:val="18"/>
          <w:szCs w:val="18"/>
          <w:b w:val="1"/>
          <w:bCs w:val="1"/>
          <w:color w:val="auto"/>
        </w:rPr>
      </w:pPr>
    </w:p>
    <w:p>
      <w:pPr>
        <w:ind w:left="50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Principally handling loans, credit facilities, deposits and current accounts, and providing investment banking services, including corporate finance, for corporate, individual and institutional customers.</w:t>
      </w:r>
    </w:p>
    <w:p>
      <w:pPr>
        <w:spacing w:after="0" w:line="1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Insurance -</w:t>
      </w:r>
    </w:p>
    <w:p>
      <w:pPr>
        <w:spacing w:after="0" w:line="2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Principally granting commercial property, transportation and marine hull, automobile, life, health and pension fund underwriting insurance.</w:t>
      </w:r>
    </w:p>
    <w:p>
      <w:pPr>
        <w:spacing w:after="0" w:line="22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Pension funds -</w:t>
      </w:r>
    </w:p>
    <w:p>
      <w:pPr>
        <w:spacing w:after="0" w:line="2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Providing private pension fund management services to individuals.</w:t>
      </w:r>
    </w:p>
    <w:p>
      <w:pPr>
        <w:spacing w:after="0" w:line="21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Brokerage and other -</w:t>
      </w:r>
    </w:p>
    <w:p>
      <w:pPr>
        <w:spacing w:after="0" w:line="23" w:lineRule="exact"/>
        <w:rPr>
          <w:rFonts w:ascii="Arial" w:cs="Arial" w:eastAsia="Arial" w:hAnsi="Arial"/>
          <w:sz w:val="18"/>
          <w:szCs w:val="18"/>
          <w:b w:val="1"/>
          <w:bCs w:val="1"/>
          <w:color w:val="auto"/>
        </w:rPr>
      </w:pPr>
    </w:p>
    <w:p>
      <w:pPr>
        <w:ind w:left="500" w:right="40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Including the structuring and placement of primary market issuances and the execution and trading of secondary market transactions. In addition, offers local securitization structuring to corporate entities, management of mutual funds, and other services.</w:t>
      </w:r>
    </w:p>
    <w:p>
      <w:pPr>
        <w:spacing w:after="0" w:line="16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Certain operating segments have been aggregated to form the above reportable operating segments.</w:t>
      </w:r>
    </w:p>
    <w:p>
      <w:pPr>
        <w:spacing w:after="0" w:line="225" w:lineRule="exact"/>
        <w:rPr>
          <w:rFonts w:ascii="Arial" w:cs="Arial" w:eastAsia="Arial" w:hAnsi="Arial"/>
          <w:sz w:val="18"/>
          <w:szCs w:val="18"/>
          <w:b w:val="1"/>
          <w:bCs w:val="1"/>
          <w:color w:val="auto"/>
        </w:rPr>
      </w:pPr>
    </w:p>
    <w:p>
      <w:pPr>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8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Transfer prices between operating segments are on an arm’s length basis in a manner similar to transactions with third parties.</w:t>
      </w:r>
    </w:p>
    <w:p>
      <w:pPr>
        <w:spacing w:after="0" w:line="225" w:lineRule="exact"/>
        <w:rPr>
          <w:rFonts w:ascii="Arial" w:cs="Arial" w:eastAsia="Arial" w:hAnsi="Arial"/>
          <w:sz w:val="18"/>
          <w:szCs w:val="18"/>
          <w:b w:val="1"/>
          <w:bCs w:val="1"/>
          <w:color w:val="auto"/>
        </w:rPr>
      </w:pPr>
    </w:p>
    <w:p>
      <w:pPr>
        <w:ind w:left="5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revenue from transactions with a single external customer or counterparty amounted to 10 percent or more of the Group’s total revenue in 2010, 2009 and 2008.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right="80" w:hanging="652"/>
        <w:spacing w:after="0" w:line="277" w:lineRule="auto"/>
        <w:tabs>
          <w:tab w:leader="none" w:pos="11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following table presents income and certain asset information recording the Group´s operating segments (in millions of U.S. Dollars) for the years ended 31 December 2010, 2009 and 2008:</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Provision for loan</w:t>
            </w:r>
          </w:p>
        </w:tc>
        <w:tc>
          <w:tcPr>
            <w:tcW w:w="840" w:type="dxa"/>
            <w:vAlign w:val="bottom"/>
          </w:tcPr>
          <w:p>
            <w:pPr>
              <w:spacing w:after="0"/>
              <w:rPr>
                <w:sz w:val="10"/>
                <w:szCs w:val="10"/>
                <w:color w:val="auto"/>
              </w:rPr>
            </w:pPr>
          </w:p>
        </w:tc>
        <w:tc>
          <w:tcPr>
            <w:tcW w:w="9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Impairment of</w:t>
            </w:r>
          </w:p>
        </w:tc>
        <w:tc>
          <w:tcPr>
            <w:tcW w:w="8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7"/>
              </w:rPr>
              <w:t>Income before</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expenditures,</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7"/>
              </w:rPr>
              <w:t>External</w:t>
            </w:r>
          </w:p>
        </w:tc>
        <w:tc>
          <w:tcPr>
            <w:tcW w:w="94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9"/>
              </w:rPr>
              <w:t>Income from other</w:t>
            </w:r>
          </w:p>
        </w:tc>
        <w:tc>
          <w:tcPr>
            <w:tcW w:w="64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Total</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5"/>
              </w:rPr>
              <w:t>Operating income</w:t>
            </w:r>
          </w:p>
        </w:tc>
        <w:tc>
          <w:tcPr>
            <w:tcW w:w="9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79"/>
              </w:rPr>
              <w:t>losses, net of</w:t>
            </w:r>
          </w:p>
        </w:tc>
        <w:tc>
          <w:tcPr>
            <w:tcW w:w="8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9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6"/>
              </w:rPr>
              <w:t>available–for–sale</w:t>
            </w:r>
          </w:p>
        </w:tc>
        <w:tc>
          <w:tcPr>
            <w:tcW w:w="8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7"/>
              </w:rPr>
              <w:t>translation result</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6"/>
              </w:rPr>
              <w:t>Translation result</w:t>
            </w:r>
          </w:p>
        </w:tc>
        <w:tc>
          <w:tcPr>
            <w:tcW w:w="40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Net</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intangible assets</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b w:val="1"/>
                <w:bCs w:val="1"/>
                <w:color w:val="auto"/>
                <w:w w:val="88"/>
              </w:rPr>
              <w:t>income</w:t>
            </w:r>
          </w:p>
        </w:tc>
        <w:tc>
          <w:tcPr>
            <w:tcW w:w="940" w:type="dxa"/>
            <w:vAlign w:val="bottom"/>
          </w:tcPr>
          <w:p>
            <w:pPr>
              <w:jc w:val="right"/>
              <w:ind w:right="226"/>
              <w:spacing w:after="0"/>
              <w:rPr>
                <w:sz w:val="20"/>
                <w:szCs w:val="20"/>
                <w:color w:val="auto"/>
              </w:rPr>
            </w:pPr>
            <w:r>
              <w:rPr>
                <w:rFonts w:ascii="Arial" w:cs="Arial" w:eastAsia="Arial" w:hAnsi="Arial"/>
                <w:sz w:val="11"/>
                <w:szCs w:val="11"/>
                <w:b w:val="1"/>
                <w:bCs w:val="1"/>
                <w:color w:val="auto"/>
              </w:rPr>
              <w:t>segments</w:t>
            </w:r>
          </w:p>
        </w:tc>
        <w:tc>
          <w:tcPr>
            <w:tcW w:w="640" w:type="dxa"/>
            <w:vAlign w:val="bottom"/>
          </w:tcPr>
          <w:p>
            <w:pPr>
              <w:jc w:val="right"/>
              <w:ind w:right="6"/>
              <w:spacing w:after="0"/>
              <w:rPr>
                <w:sz w:val="20"/>
                <w:szCs w:val="20"/>
                <w:color w:val="auto"/>
              </w:rPr>
            </w:pPr>
            <w:r>
              <w:rPr>
                <w:rFonts w:ascii="Arial" w:cs="Arial" w:eastAsia="Arial" w:hAnsi="Arial"/>
                <w:sz w:val="11"/>
                <w:szCs w:val="11"/>
                <w:b w:val="1"/>
                <w:bCs w:val="1"/>
                <w:color w:val="auto"/>
                <w:w w:val="85"/>
              </w:rPr>
              <w:t>Eliminations</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0"/>
              </w:rPr>
              <w:t>income (*)</w:t>
            </w:r>
          </w:p>
        </w:tc>
        <w:tc>
          <w:tcPr>
            <w:tcW w:w="88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recoveries</w:t>
            </w:r>
          </w:p>
        </w:tc>
        <w:tc>
          <w:tcPr>
            <w:tcW w:w="840" w:type="dxa"/>
            <w:vAlign w:val="bottom"/>
          </w:tcPr>
          <w:p>
            <w:pPr>
              <w:jc w:val="right"/>
              <w:ind w:right="106"/>
              <w:spacing w:after="0"/>
              <w:rPr>
                <w:sz w:val="20"/>
                <w:szCs w:val="20"/>
                <w:color w:val="auto"/>
              </w:rPr>
            </w:pPr>
            <w:r>
              <w:rPr>
                <w:rFonts w:ascii="Arial" w:cs="Arial" w:eastAsia="Arial" w:hAnsi="Arial"/>
                <w:sz w:val="11"/>
                <w:szCs w:val="11"/>
                <w:b w:val="1"/>
                <w:bCs w:val="1"/>
                <w:color w:val="auto"/>
              </w:rPr>
              <w:t>amortization</w:t>
            </w:r>
          </w:p>
        </w:tc>
        <w:tc>
          <w:tcPr>
            <w:tcW w:w="960" w:type="dxa"/>
            <w:vAlign w:val="bottom"/>
          </w:tcPr>
          <w:p>
            <w:pPr>
              <w:jc w:val="center"/>
              <w:ind w:right="6"/>
              <w:spacing w:after="0"/>
              <w:rPr>
                <w:sz w:val="20"/>
                <w:szCs w:val="20"/>
                <w:color w:val="auto"/>
              </w:rPr>
            </w:pPr>
            <w:r>
              <w:rPr>
                <w:rFonts w:ascii="Arial" w:cs="Arial" w:eastAsia="Arial" w:hAnsi="Arial"/>
                <w:sz w:val="11"/>
                <w:szCs w:val="11"/>
                <w:b w:val="1"/>
                <w:bCs w:val="1"/>
                <w:color w:val="auto"/>
                <w:w w:val="84"/>
              </w:rPr>
              <w:t>investments</w:t>
            </w:r>
          </w:p>
        </w:tc>
        <w:tc>
          <w:tcPr>
            <w:tcW w:w="84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and income tax</w:t>
            </w:r>
          </w:p>
        </w:tc>
        <w:tc>
          <w:tcPr>
            <w:tcW w:w="880" w:type="dxa"/>
            <w:vAlign w:val="bottom"/>
          </w:tcPr>
          <w:p>
            <w:pPr>
              <w:jc w:val="right"/>
              <w:ind w:right="66"/>
              <w:spacing w:after="0"/>
              <w:rPr>
                <w:sz w:val="20"/>
                <w:szCs w:val="20"/>
                <w:color w:val="auto"/>
              </w:rPr>
            </w:pPr>
            <w:r>
              <w:rPr>
                <w:rFonts w:ascii="Arial" w:cs="Arial" w:eastAsia="Arial" w:hAnsi="Arial"/>
                <w:sz w:val="11"/>
                <w:szCs w:val="11"/>
                <w:b w:val="1"/>
                <w:bCs w:val="1"/>
                <w:color w:val="auto"/>
                <w:w w:val="92"/>
              </w:rPr>
              <w:t>and income tax</w:t>
            </w: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82"/>
              </w:rPr>
              <w:t>income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9"/>
              </w:rPr>
              <w:t>and goodwill</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81"/>
              </w:rPr>
              <w:t>Total 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2010</w:t>
            </w:r>
          </w:p>
        </w:tc>
        <w:tc>
          <w:tcPr>
            <w:tcW w:w="440" w:type="dxa"/>
            <w:vAlign w:val="bottom"/>
            <w:tcBorders>
              <w:right w:val="single" w:sz="8" w:color="CCFFCC"/>
            </w:tcBorders>
            <w:shd w:val="clear" w:color="auto" w:fill="CCFFCC"/>
          </w:tcPr>
          <w:p>
            <w:pPr>
              <w:spacing w:after="0"/>
              <w:rPr>
                <w:sz w:val="10"/>
                <w:szCs w:val="10"/>
                <w:color w:val="auto"/>
              </w:rPr>
            </w:pPr>
          </w:p>
        </w:tc>
        <w:tc>
          <w:tcPr>
            <w:tcW w:w="940" w:type="dxa"/>
            <w:vAlign w:val="bottom"/>
            <w:tcBorders>
              <w:right w:val="single" w:sz="8" w:color="CCFFCC"/>
            </w:tcBorders>
            <w:shd w:val="clear" w:color="auto" w:fill="CCFFCC"/>
          </w:tcPr>
          <w:p>
            <w:pPr>
              <w:spacing w:after="0"/>
              <w:rPr>
                <w:sz w:val="10"/>
                <w:szCs w:val="10"/>
                <w:color w:val="auto"/>
              </w:rPr>
            </w:pPr>
          </w:p>
        </w:tc>
        <w:tc>
          <w:tcPr>
            <w:tcW w:w="64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6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2,042</w:t>
            </w:r>
          </w:p>
        </w:tc>
        <w:tc>
          <w:tcPr>
            <w:tcW w:w="940" w:type="dxa"/>
            <w:vAlign w:val="bottom"/>
          </w:tcPr>
          <w:p>
            <w:pPr>
              <w:jc w:val="right"/>
              <w:ind w:right="6"/>
              <w:spacing w:after="0" w:line="122" w:lineRule="exact"/>
              <w:rPr>
                <w:sz w:val="20"/>
                <w:szCs w:val="20"/>
                <w:color w:val="auto"/>
              </w:rPr>
            </w:pPr>
            <w:r>
              <w:rPr>
                <w:rFonts w:ascii="Arial" w:cs="Arial" w:eastAsia="Arial" w:hAnsi="Arial"/>
                <w:sz w:val="11"/>
                <w:szCs w:val="11"/>
                <w:color w:val="auto"/>
              </w:rPr>
              <w:t>72</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2,042</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1,037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(179)</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662</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(120)</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542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139</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25,957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9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30</w:t>
            </w:r>
          </w:p>
        </w:tc>
        <w:tc>
          <w:tcPr>
            <w:tcW w:w="6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578</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232</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9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94</w:t>
            </w:r>
          </w:p>
        </w:tc>
        <w:tc>
          <w:tcPr>
            <w:tcW w:w="8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81</w:t>
            </w:r>
          </w:p>
        </w:tc>
        <w:tc>
          <w:tcPr>
            <w:tcW w:w="80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5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1,716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20" w:type="dxa"/>
            <w:vAlign w:val="bottom"/>
            <w:gridSpan w:val="2"/>
          </w:tcPr>
          <w:p>
            <w:pPr>
              <w:spacing w:after="0"/>
              <w:rPr>
                <w:sz w:val="20"/>
                <w:szCs w:val="20"/>
                <w:color w:val="auto"/>
              </w:rPr>
            </w:pPr>
            <w:r>
              <w:rPr>
                <w:rFonts w:ascii="Arial" w:cs="Arial" w:eastAsia="Arial" w:hAnsi="Arial"/>
                <w:sz w:val="11"/>
                <w:szCs w:val="11"/>
                <w:color w:val="auto"/>
              </w:rPr>
              <w:t>funds</w:t>
            </w:r>
          </w:p>
        </w:tc>
        <w:tc>
          <w:tcPr>
            <w:tcW w:w="440" w:type="dxa"/>
            <w:vAlign w:val="bottom"/>
          </w:tcPr>
          <w:p>
            <w:pPr>
              <w:jc w:val="right"/>
              <w:spacing w:after="0"/>
              <w:rPr>
                <w:sz w:val="20"/>
                <w:szCs w:val="20"/>
                <w:color w:val="auto"/>
              </w:rPr>
            </w:pPr>
            <w:r>
              <w:rPr>
                <w:rFonts w:ascii="Arial" w:cs="Arial" w:eastAsia="Arial" w:hAnsi="Arial"/>
                <w:sz w:val="11"/>
                <w:szCs w:val="11"/>
                <w:color w:val="auto"/>
              </w:rPr>
              <w:t>87</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880" w:type="dxa"/>
            <w:vAlign w:val="bottom"/>
          </w:tcPr>
          <w:p>
            <w:pPr>
              <w:jc w:val="right"/>
              <w:spacing w:after="0"/>
              <w:rPr>
                <w:sz w:val="20"/>
                <w:szCs w:val="20"/>
                <w:color w:val="auto"/>
              </w:rPr>
            </w:pPr>
            <w:r>
              <w:rPr>
                <w:rFonts w:ascii="Arial" w:cs="Arial" w:eastAsia="Arial" w:hAnsi="Arial"/>
                <w:sz w:val="11"/>
                <w:szCs w:val="11"/>
                <w:color w:val="auto"/>
              </w:rPr>
              <w:t>(9)</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580" w:type="dxa"/>
            <w:vAlign w:val="bottom"/>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40" w:type="dxa"/>
            <w:vAlign w:val="bottom"/>
            <w:tcBorders>
              <w:right w:val="single" w:sz="8" w:color="CCFFCC"/>
            </w:tcBorders>
            <w:shd w:val="clear" w:color="auto" w:fill="CCFFCC"/>
          </w:tcPr>
          <w:p>
            <w:pPr>
              <w:spacing w:after="0"/>
              <w:rPr>
                <w:sz w:val="9"/>
                <w:szCs w:val="9"/>
                <w:color w:val="auto"/>
              </w:rPr>
            </w:pPr>
          </w:p>
        </w:tc>
        <w:tc>
          <w:tcPr>
            <w:tcW w:w="940" w:type="dxa"/>
            <w:vAlign w:val="bottom"/>
            <w:tcBorders>
              <w:right w:val="single" w:sz="8" w:color="CCFFCC"/>
            </w:tcBorders>
            <w:shd w:val="clear" w:color="auto" w:fill="CCFFCC"/>
          </w:tcPr>
          <w:p>
            <w:pPr>
              <w:spacing w:after="0"/>
              <w:rPr>
                <w:sz w:val="9"/>
                <w:szCs w:val="9"/>
                <w:color w:val="auto"/>
              </w:rPr>
            </w:pPr>
          </w:p>
        </w:tc>
        <w:tc>
          <w:tcPr>
            <w:tcW w:w="64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6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50</w:t>
            </w:r>
          </w:p>
        </w:tc>
        <w:tc>
          <w:tcPr>
            <w:tcW w:w="9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63</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(63)</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(47)</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(28)</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(49)</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00" w:type="dxa"/>
            <w:vAlign w:val="bottom"/>
            <w:tcBorders>
              <w:top w:val="single" w:sz="8" w:color="CCFFC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0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40" w:type="dxa"/>
            <w:vAlign w:val="bottom"/>
            <w:tcBorders>
              <w:right w:val="single" w:sz="8" w:color="CCFFCC"/>
            </w:tcBorders>
            <w:shd w:val="clear" w:color="auto" w:fill="CCFFCC"/>
          </w:tcPr>
          <w:p>
            <w:pPr>
              <w:spacing w:after="0"/>
              <w:rPr>
                <w:sz w:val="9"/>
                <w:szCs w:val="9"/>
                <w:color w:val="auto"/>
              </w:rPr>
            </w:pPr>
          </w:p>
        </w:tc>
        <w:tc>
          <w:tcPr>
            <w:tcW w:w="940" w:type="dxa"/>
            <w:vAlign w:val="bottom"/>
            <w:tcBorders>
              <w:right w:val="single" w:sz="8" w:color="CCFFCC"/>
            </w:tcBorders>
            <w:shd w:val="clear" w:color="auto" w:fill="CCFFCC"/>
          </w:tcPr>
          <w:p>
            <w:pPr>
              <w:spacing w:after="0"/>
              <w:rPr>
                <w:sz w:val="9"/>
                <w:szCs w:val="9"/>
                <w:color w:val="auto"/>
              </w:rPr>
            </w:pPr>
          </w:p>
        </w:tc>
        <w:tc>
          <w:tcPr>
            <w:tcW w:w="64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6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5"/>
              </w:rPr>
              <w:t>consolidated</w:t>
            </w:r>
          </w:p>
        </w:tc>
        <w:tc>
          <w:tcPr>
            <w:tcW w:w="4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2,757</w:t>
            </w:r>
          </w:p>
        </w:tc>
        <w:tc>
          <w:tcPr>
            <w:tcW w:w="9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165</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(165)</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2,757</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1,222</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(175)</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(82)</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766</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603</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149</w:t>
            </w: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28,413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0" w:type="dxa"/>
            <w:vAlign w:val="bottom"/>
            <w:tcBorders>
              <w:top w:val="single" w:sz="8" w:color="CCFFC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2009</w:t>
            </w:r>
          </w:p>
        </w:tc>
        <w:tc>
          <w:tcPr>
            <w:tcW w:w="440" w:type="dxa"/>
            <w:vAlign w:val="bottom"/>
            <w:tcBorders>
              <w:right w:val="single" w:sz="8" w:color="CCFFCC"/>
            </w:tcBorders>
            <w:shd w:val="clear" w:color="auto" w:fill="CCFFCC"/>
          </w:tcPr>
          <w:p>
            <w:pPr>
              <w:spacing w:after="0"/>
              <w:rPr>
                <w:sz w:val="10"/>
                <w:szCs w:val="10"/>
                <w:color w:val="auto"/>
              </w:rPr>
            </w:pPr>
          </w:p>
        </w:tc>
        <w:tc>
          <w:tcPr>
            <w:tcW w:w="940" w:type="dxa"/>
            <w:vAlign w:val="bottom"/>
            <w:tcBorders>
              <w:right w:val="single" w:sz="8" w:color="CCFFCC"/>
            </w:tcBorders>
            <w:shd w:val="clear" w:color="auto" w:fill="CCFFCC"/>
          </w:tcPr>
          <w:p>
            <w:pPr>
              <w:spacing w:after="0"/>
              <w:rPr>
                <w:sz w:val="10"/>
                <w:szCs w:val="10"/>
                <w:color w:val="auto"/>
              </w:rPr>
            </w:pPr>
          </w:p>
        </w:tc>
        <w:tc>
          <w:tcPr>
            <w:tcW w:w="64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6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1,820</w:t>
            </w:r>
          </w:p>
        </w:tc>
        <w:tc>
          <w:tcPr>
            <w:tcW w:w="940" w:type="dxa"/>
            <w:vAlign w:val="bottom"/>
          </w:tcPr>
          <w:p>
            <w:pPr>
              <w:jc w:val="right"/>
              <w:ind w:right="6"/>
              <w:spacing w:after="0" w:line="122" w:lineRule="exact"/>
              <w:rPr>
                <w:sz w:val="20"/>
                <w:szCs w:val="20"/>
                <w:color w:val="auto"/>
              </w:rPr>
            </w:pPr>
            <w:r>
              <w:rPr>
                <w:rFonts w:ascii="Arial" w:cs="Arial" w:eastAsia="Arial" w:hAnsi="Arial"/>
                <w:sz w:val="11"/>
                <w:szCs w:val="11"/>
                <w:color w:val="auto"/>
              </w:rPr>
              <w:t>66</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1,820</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831</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(57)</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502</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(96)</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406</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163</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20,106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518</w:t>
            </w:r>
          </w:p>
        </w:tc>
        <w:tc>
          <w:tcPr>
            <w:tcW w:w="9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15</w:t>
            </w:r>
          </w:p>
        </w:tc>
        <w:tc>
          <w:tcPr>
            <w:tcW w:w="6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518</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192</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9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68</w:t>
            </w:r>
          </w:p>
        </w:tc>
        <w:tc>
          <w:tcPr>
            <w:tcW w:w="8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64</w:t>
            </w:r>
          </w:p>
        </w:tc>
        <w:tc>
          <w:tcPr>
            <w:tcW w:w="80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17</w:t>
            </w:r>
          </w:p>
        </w:tc>
        <w:tc>
          <w:tcPr>
            <w:tcW w:w="5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20" w:type="dxa"/>
            <w:vAlign w:val="bottom"/>
            <w:gridSpan w:val="2"/>
          </w:tcPr>
          <w:p>
            <w:pPr>
              <w:spacing w:after="0"/>
              <w:rPr>
                <w:sz w:val="20"/>
                <w:szCs w:val="20"/>
                <w:color w:val="auto"/>
              </w:rPr>
            </w:pPr>
            <w:r>
              <w:rPr>
                <w:rFonts w:ascii="Arial" w:cs="Arial" w:eastAsia="Arial" w:hAnsi="Arial"/>
                <w:sz w:val="11"/>
                <w:szCs w:val="11"/>
                <w:color w:val="auto"/>
              </w:rPr>
              <w:t>funds</w:t>
            </w:r>
          </w:p>
        </w:tc>
        <w:tc>
          <w:tcPr>
            <w:tcW w:w="440" w:type="dxa"/>
            <w:vAlign w:val="bottom"/>
          </w:tcPr>
          <w:p>
            <w:pPr>
              <w:jc w:val="right"/>
              <w:spacing w:after="0"/>
              <w:rPr>
                <w:sz w:val="20"/>
                <w:szCs w:val="20"/>
                <w:color w:val="auto"/>
              </w:rPr>
            </w:pPr>
            <w:r>
              <w:rPr>
                <w:rFonts w:ascii="Arial" w:cs="Arial" w:eastAsia="Arial" w:hAnsi="Arial"/>
                <w:sz w:val="11"/>
                <w:szCs w:val="11"/>
                <w:color w:val="auto"/>
              </w:rPr>
              <w:t>80</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880" w:type="dxa"/>
            <w:vAlign w:val="bottom"/>
          </w:tcPr>
          <w:p>
            <w:pPr>
              <w:jc w:val="right"/>
              <w:spacing w:after="0"/>
              <w:rPr>
                <w:sz w:val="20"/>
                <w:szCs w:val="20"/>
                <w:color w:val="auto"/>
              </w:rPr>
            </w:pPr>
            <w:r>
              <w:rPr>
                <w:rFonts w:ascii="Arial" w:cs="Arial" w:eastAsia="Arial" w:hAnsi="Arial"/>
                <w:sz w:val="11"/>
                <w:szCs w:val="11"/>
                <w:color w:val="auto"/>
              </w:rPr>
              <w:t>(10)</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580" w:type="dxa"/>
            <w:vAlign w:val="bottom"/>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40" w:type="dxa"/>
            <w:vAlign w:val="bottom"/>
            <w:tcBorders>
              <w:right w:val="single" w:sz="8" w:color="CCFFCC"/>
            </w:tcBorders>
            <w:shd w:val="clear" w:color="auto" w:fill="CCFFCC"/>
          </w:tcPr>
          <w:p>
            <w:pPr>
              <w:spacing w:after="0"/>
              <w:rPr>
                <w:sz w:val="9"/>
                <w:szCs w:val="9"/>
                <w:color w:val="auto"/>
              </w:rPr>
            </w:pPr>
          </w:p>
        </w:tc>
        <w:tc>
          <w:tcPr>
            <w:tcW w:w="940" w:type="dxa"/>
            <w:vAlign w:val="bottom"/>
            <w:tcBorders>
              <w:right w:val="single" w:sz="8" w:color="CCFFCC"/>
            </w:tcBorders>
            <w:shd w:val="clear" w:color="auto" w:fill="CCFFCC"/>
          </w:tcPr>
          <w:p>
            <w:pPr>
              <w:spacing w:after="0"/>
              <w:rPr>
                <w:sz w:val="9"/>
                <w:szCs w:val="9"/>
                <w:color w:val="auto"/>
              </w:rPr>
            </w:pPr>
          </w:p>
        </w:tc>
        <w:tc>
          <w:tcPr>
            <w:tcW w:w="64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6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40</w:t>
            </w:r>
          </w:p>
        </w:tc>
        <w:tc>
          <w:tcPr>
            <w:tcW w:w="9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65</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(65)</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40</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25</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9</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00" w:type="dxa"/>
            <w:vAlign w:val="bottom"/>
            <w:tcBorders>
              <w:top w:val="single" w:sz="8" w:color="CCFFC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0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40" w:type="dxa"/>
            <w:vAlign w:val="bottom"/>
            <w:tcBorders>
              <w:right w:val="single" w:sz="8" w:color="CCFFCC"/>
            </w:tcBorders>
            <w:shd w:val="clear" w:color="auto" w:fill="CCFFCC"/>
          </w:tcPr>
          <w:p>
            <w:pPr>
              <w:spacing w:after="0"/>
              <w:rPr>
                <w:sz w:val="9"/>
                <w:szCs w:val="9"/>
                <w:color w:val="auto"/>
              </w:rPr>
            </w:pPr>
          </w:p>
        </w:tc>
        <w:tc>
          <w:tcPr>
            <w:tcW w:w="940" w:type="dxa"/>
            <w:vAlign w:val="bottom"/>
            <w:tcBorders>
              <w:right w:val="single" w:sz="8" w:color="CCFFCC"/>
            </w:tcBorders>
            <w:shd w:val="clear" w:color="auto" w:fill="CCFFCC"/>
          </w:tcPr>
          <w:p>
            <w:pPr>
              <w:spacing w:after="0"/>
              <w:rPr>
                <w:sz w:val="9"/>
                <w:szCs w:val="9"/>
                <w:color w:val="auto"/>
              </w:rPr>
            </w:pPr>
          </w:p>
        </w:tc>
        <w:tc>
          <w:tcPr>
            <w:tcW w:w="64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6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5"/>
              </w:rPr>
              <w:t>consolidated</w:t>
            </w:r>
          </w:p>
        </w:tc>
        <w:tc>
          <w:tcPr>
            <w:tcW w:w="4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2,458</w:t>
            </w:r>
          </w:p>
        </w:tc>
        <w:tc>
          <w:tcPr>
            <w:tcW w:w="9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146</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(146)</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2,458</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1,031</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(71)</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(10)</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630</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(126)</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504</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183</w:t>
            </w: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22,014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0" w:type="dxa"/>
            <w:vAlign w:val="bottom"/>
            <w:tcBorders>
              <w:top w:val="single" w:sz="8" w:color="CCFFC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2008</w:t>
            </w:r>
          </w:p>
        </w:tc>
        <w:tc>
          <w:tcPr>
            <w:tcW w:w="440" w:type="dxa"/>
            <w:vAlign w:val="bottom"/>
            <w:tcBorders>
              <w:right w:val="single" w:sz="8" w:color="CCFFCC"/>
            </w:tcBorders>
            <w:shd w:val="clear" w:color="auto" w:fill="CCFFCC"/>
          </w:tcPr>
          <w:p>
            <w:pPr>
              <w:spacing w:after="0"/>
              <w:rPr>
                <w:sz w:val="10"/>
                <w:szCs w:val="10"/>
                <w:color w:val="auto"/>
              </w:rPr>
            </w:pPr>
          </w:p>
        </w:tc>
        <w:tc>
          <w:tcPr>
            <w:tcW w:w="940" w:type="dxa"/>
            <w:vAlign w:val="bottom"/>
            <w:tcBorders>
              <w:right w:val="single" w:sz="8" w:color="CCFFCC"/>
            </w:tcBorders>
            <w:shd w:val="clear" w:color="auto" w:fill="CCFFCC"/>
          </w:tcPr>
          <w:p>
            <w:pPr>
              <w:spacing w:after="0"/>
              <w:rPr>
                <w:sz w:val="10"/>
                <w:szCs w:val="10"/>
                <w:color w:val="auto"/>
              </w:rPr>
            </w:pPr>
          </w:p>
        </w:tc>
        <w:tc>
          <w:tcPr>
            <w:tcW w:w="64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6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00" w:type="dxa"/>
            <w:vAlign w:val="bottom"/>
            <w:tcBorders>
              <w:right w:val="single" w:sz="8" w:color="CCFFCC"/>
            </w:tcBorders>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1,794</w:t>
            </w:r>
          </w:p>
        </w:tc>
        <w:tc>
          <w:tcPr>
            <w:tcW w:w="940" w:type="dxa"/>
            <w:vAlign w:val="bottom"/>
          </w:tcPr>
          <w:p>
            <w:pPr>
              <w:jc w:val="right"/>
              <w:ind w:right="6"/>
              <w:spacing w:after="0" w:line="122" w:lineRule="exact"/>
              <w:rPr>
                <w:sz w:val="20"/>
                <w:szCs w:val="20"/>
                <w:color w:val="auto"/>
              </w:rPr>
            </w:pPr>
            <w:r>
              <w:rPr>
                <w:rFonts w:ascii="Arial" w:cs="Arial" w:eastAsia="Arial" w:hAnsi="Arial"/>
                <w:sz w:val="11"/>
                <w:szCs w:val="11"/>
                <w:color w:val="auto"/>
              </w:rPr>
              <w:t>83</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1,794</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749</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(53)</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color w:val="auto"/>
              </w:rPr>
              <w:t>457</w:t>
            </w: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(114)</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343</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114</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19,168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454</w:t>
            </w:r>
          </w:p>
        </w:tc>
        <w:tc>
          <w:tcPr>
            <w:tcW w:w="9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15</w:t>
            </w:r>
          </w:p>
        </w:tc>
        <w:tc>
          <w:tcPr>
            <w:tcW w:w="6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454</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116</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9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(11)</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w:t>
            </w:r>
          </w:p>
        </w:tc>
        <w:tc>
          <w:tcPr>
            <w:tcW w:w="5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20" w:type="dxa"/>
            <w:vAlign w:val="bottom"/>
            <w:gridSpan w:val="2"/>
          </w:tcPr>
          <w:p>
            <w:pPr>
              <w:spacing w:after="0"/>
              <w:rPr>
                <w:sz w:val="20"/>
                <w:szCs w:val="20"/>
                <w:color w:val="auto"/>
              </w:rPr>
            </w:pPr>
            <w:r>
              <w:rPr>
                <w:rFonts w:ascii="Arial" w:cs="Arial" w:eastAsia="Arial" w:hAnsi="Arial"/>
                <w:sz w:val="11"/>
                <w:szCs w:val="11"/>
                <w:color w:val="auto"/>
              </w:rPr>
              <w:t>funds</w:t>
            </w:r>
          </w:p>
        </w:tc>
        <w:tc>
          <w:tcPr>
            <w:tcW w:w="440" w:type="dxa"/>
            <w:vAlign w:val="bottom"/>
          </w:tcPr>
          <w:p>
            <w:pPr>
              <w:jc w:val="right"/>
              <w:spacing w:after="0"/>
              <w:rPr>
                <w:sz w:val="20"/>
                <w:szCs w:val="20"/>
                <w:color w:val="auto"/>
              </w:rPr>
            </w:pPr>
            <w:r>
              <w:rPr>
                <w:rFonts w:ascii="Arial" w:cs="Arial" w:eastAsia="Arial" w:hAnsi="Arial"/>
                <w:sz w:val="11"/>
                <w:szCs w:val="11"/>
                <w:color w:val="auto"/>
              </w:rPr>
              <w:t>71</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71</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880" w:type="dxa"/>
            <w:vAlign w:val="bottom"/>
          </w:tcPr>
          <w:p>
            <w:pPr>
              <w:jc w:val="right"/>
              <w:spacing w:after="0"/>
              <w:rPr>
                <w:sz w:val="20"/>
                <w:szCs w:val="20"/>
                <w:color w:val="auto"/>
              </w:rPr>
            </w:pPr>
            <w:r>
              <w:rPr>
                <w:rFonts w:ascii="Arial" w:cs="Arial" w:eastAsia="Arial" w:hAnsi="Arial"/>
                <w:sz w:val="11"/>
                <w:szCs w:val="11"/>
                <w:color w:val="auto"/>
              </w:rPr>
              <w:t>(5)</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800" w:type="dxa"/>
            <w:vAlign w:val="bottom"/>
          </w:tcPr>
          <w:p>
            <w:pPr>
              <w:jc w:val="right"/>
              <w:spacing w:after="0"/>
              <w:rPr>
                <w:sz w:val="20"/>
                <w:szCs w:val="20"/>
                <w:color w:val="auto"/>
              </w:rPr>
            </w:pPr>
            <w:r>
              <w:rPr>
                <w:rFonts w:ascii="Arial" w:cs="Arial" w:eastAsia="Arial" w:hAnsi="Arial"/>
                <w:sz w:val="11"/>
                <w:szCs w:val="11"/>
                <w:color w:val="auto"/>
              </w:rPr>
              <w:t>3</w:t>
            </w:r>
          </w:p>
        </w:tc>
        <w:tc>
          <w:tcPr>
            <w:tcW w:w="580" w:type="dxa"/>
            <w:vAlign w:val="bottom"/>
          </w:tcPr>
          <w:p>
            <w:pPr>
              <w:jc w:val="right"/>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40" w:type="dxa"/>
            <w:vAlign w:val="bottom"/>
            <w:tcBorders>
              <w:right w:val="single" w:sz="8" w:color="CCFFCC"/>
            </w:tcBorders>
            <w:shd w:val="clear" w:color="auto" w:fill="CCFFCC"/>
          </w:tcPr>
          <w:p>
            <w:pPr>
              <w:spacing w:after="0"/>
              <w:rPr>
                <w:sz w:val="9"/>
                <w:szCs w:val="9"/>
                <w:color w:val="auto"/>
              </w:rPr>
            </w:pPr>
          </w:p>
        </w:tc>
        <w:tc>
          <w:tcPr>
            <w:tcW w:w="940" w:type="dxa"/>
            <w:vAlign w:val="bottom"/>
            <w:tcBorders>
              <w:right w:val="single" w:sz="8" w:color="CCFFCC"/>
            </w:tcBorders>
            <w:shd w:val="clear" w:color="auto" w:fill="CCFFCC"/>
          </w:tcPr>
          <w:p>
            <w:pPr>
              <w:spacing w:after="0"/>
              <w:rPr>
                <w:sz w:val="9"/>
                <w:szCs w:val="9"/>
                <w:color w:val="auto"/>
              </w:rPr>
            </w:pPr>
          </w:p>
        </w:tc>
        <w:tc>
          <w:tcPr>
            <w:tcW w:w="64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6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50</w:t>
            </w:r>
          </w:p>
        </w:tc>
        <w:tc>
          <w:tcPr>
            <w:tcW w:w="9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62</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(62)</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25</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11</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w:t>
            </w: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00" w:type="dxa"/>
            <w:vAlign w:val="bottom"/>
            <w:tcBorders>
              <w:top w:val="single" w:sz="8" w:color="CCFFC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60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40" w:type="dxa"/>
            <w:vAlign w:val="bottom"/>
            <w:tcBorders>
              <w:right w:val="single" w:sz="8" w:color="CCFFCC"/>
            </w:tcBorders>
            <w:shd w:val="clear" w:color="auto" w:fill="CCFFCC"/>
          </w:tcPr>
          <w:p>
            <w:pPr>
              <w:spacing w:after="0"/>
              <w:rPr>
                <w:sz w:val="9"/>
                <w:szCs w:val="9"/>
                <w:color w:val="auto"/>
              </w:rPr>
            </w:pPr>
          </w:p>
        </w:tc>
        <w:tc>
          <w:tcPr>
            <w:tcW w:w="940" w:type="dxa"/>
            <w:vAlign w:val="bottom"/>
            <w:tcBorders>
              <w:right w:val="single" w:sz="8" w:color="CCFFCC"/>
            </w:tcBorders>
            <w:shd w:val="clear" w:color="auto" w:fill="CCFFCC"/>
          </w:tcPr>
          <w:p>
            <w:pPr>
              <w:spacing w:after="0"/>
              <w:rPr>
                <w:sz w:val="9"/>
                <w:szCs w:val="9"/>
                <w:color w:val="auto"/>
              </w:rPr>
            </w:pPr>
          </w:p>
        </w:tc>
        <w:tc>
          <w:tcPr>
            <w:tcW w:w="64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6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0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5"/>
              </w:rPr>
              <w:t>consolidated</w:t>
            </w:r>
          </w:p>
        </w:tc>
        <w:tc>
          <w:tcPr>
            <w:tcW w:w="4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2,369</w:t>
            </w:r>
          </w:p>
        </w:tc>
        <w:tc>
          <w:tcPr>
            <w:tcW w:w="9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161</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(161)</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2,369</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873</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(49)</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(57)</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(60)</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496</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(127)</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369</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134</w:t>
            </w:r>
          </w:p>
        </w:tc>
        <w:tc>
          <w:tcPr>
            <w:tcW w:w="5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20,821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hanging="607"/>
        <w:spacing w:after="0" w:line="342" w:lineRule="auto"/>
        <w:tabs>
          <w:tab w:leader="none" w:pos="11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following tables presents (in millions of U.S. Dollars) the distribution of the Group’s external income, operating income, and non-current assets allocated based on the location of the customer and its assets, respectively for the years ended 31 December 2010, 2009 and 2008:</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2010</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2009</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2008</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1"/>
              </w:rPr>
              <w:t>Total</w:t>
            </w: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Total</w:t>
            </w:r>
          </w:p>
        </w:tc>
        <w:tc>
          <w:tcPr>
            <w:tcW w:w="1040" w:type="dxa"/>
            <w:vAlign w:val="bottom"/>
            <w:gridSpan w:val="3"/>
          </w:tcPr>
          <w:p>
            <w:pPr>
              <w:jc w:val="right"/>
              <w:ind w:right="100"/>
              <w:spacing w:after="0" w:line="122" w:lineRule="exact"/>
              <w:rPr>
                <w:sz w:val="20"/>
                <w:szCs w:val="20"/>
                <w:color w:val="auto"/>
              </w:rPr>
            </w:pPr>
            <w:r>
              <w:rPr>
                <w:rFonts w:ascii="Arial" w:cs="Arial" w:eastAsia="Arial" w:hAnsi="Arial"/>
                <w:sz w:val="11"/>
                <w:szCs w:val="11"/>
                <w:b w:val="1"/>
                <w:bCs w:val="1"/>
                <w:color w:val="auto"/>
                <w:w w:val="98"/>
              </w:rPr>
              <w:t>Operating income</w:t>
            </w:r>
          </w:p>
        </w:tc>
        <w:tc>
          <w:tcPr>
            <w:tcW w:w="11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Non-current assets</w:t>
            </w: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external</w:t>
            </w:r>
          </w:p>
        </w:tc>
        <w:tc>
          <w:tcPr>
            <w:tcW w:w="10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w w:val="98"/>
              </w:rPr>
              <w:t>Operating income</w:t>
            </w:r>
          </w:p>
        </w:tc>
        <w:tc>
          <w:tcPr>
            <w:tcW w:w="10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Non-current assets</w:t>
            </w:r>
          </w:p>
        </w:tc>
        <w:tc>
          <w:tcPr>
            <w:tcW w:w="6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Total</w:t>
            </w:r>
          </w:p>
        </w:tc>
        <w:tc>
          <w:tcPr>
            <w:tcW w:w="1000" w:type="dxa"/>
            <w:vAlign w:val="bottom"/>
            <w:gridSpan w:val="3"/>
          </w:tcPr>
          <w:p>
            <w:pPr>
              <w:jc w:val="right"/>
              <w:ind w:right="120"/>
              <w:spacing w:after="0" w:line="122" w:lineRule="exact"/>
              <w:rPr>
                <w:sz w:val="20"/>
                <w:szCs w:val="20"/>
                <w:color w:val="auto"/>
              </w:rPr>
            </w:pPr>
            <w:r>
              <w:rPr>
                <w:rFonts w:ascii="Arial" w:cs="Arial" w:eastAsia="Arial" w:hAnsi="Arial"/>
                <w:sz w:val="11"/>
                <w:szCs w:val="11"/>
                <w:b w:val="1"/>
                <w:bCs w:val="1"/>
                <w:color w:val="auto"/>
                <w:w w:val="91"/>
              </w:rPr>
              <w:t>Operating income</w:t>
            </w:r>
          </w:p>
        </w:tc>
        <w:tc>
          <w:tcPr>
            <w:tcW w:w="10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7"/>
              </w:rPr>
              <w:t>Non-current assets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w w:val="93"/>
              </w:rPr>
              <w:t>income (*)</w:t>
            </w:r>
          </w:p>
        </w:tc>
        <w:tc>
          <w:tcPr>
            <w:tcW w:w="9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100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0"/>
              </w:rPr>
              <w:t>income (*)</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98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7"/>
              </w:rPr>
              <w:t>income (*)</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100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7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Peru</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2,540</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1,158</w:t>
            </w:r>
          </w:p>
        </w:tc>
        <w:tc>
          <w:tcPr>
            <w:tcW w:w="120" w:type="dxa"/>
            <w:vAlign w:val="bottom"/>
            <w:shd w:val="clear" w:color="auto" w:fill="CCFFCC"/>
          </w:tcPr>
          <w:p>
            <w:pPr>
              <w:spacing w:after="0"/>
              <w:rPr>
                <w:sz w:val="10"/>
                <w:szCs w:val="10"/>
                <w:color w:val="auto"/>
              </w:rPr>
            </w:pPr>
          </w:p>
        </w:tc>
        <w:tc>
          <w:tcPr>
            <w:tcW w:w="10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687</w:t>
            </w:r>
          </w:p>
        </w:tc>
        <w:tc>
          <w:tcPr>
            <w:tcW w:w="1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2,226</w:t>
            </w:r>
          </w:p>
        </w:tc>
        <w:tc>
          <w:tcPr>
            <w:tcW w:w="8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958</w:t>
            </w:r>
          </w:p>
        </w:tc>
        <w:tc>
          <w:tcPr>
            <w:tcW w:w="12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624</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2,020</w:t>
            </w:r>
          </w:p>
        </w:tc>
        <w:tc>
          <w:tcPr>
            <w:tcW w:w="6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803</w:t>
            </w:r>
          </w:p>
        </w:tc>
        <w:tc>
          <w:tcPr>
            <w:tcW w:w="120" w:type="dxa"/>
            <w:vAlign w:val="bottom"/>
            <w:shd w:val="clear" w:color="auto" w:fill="CCFFCC"/>
          </w:tcPr>
          <w:p>
            <w:pPr>
              <w:spacing w:after="0"/>
              <w:rPr>
                <w:sz w:val="10"/>
                <w:szCs w:val="10"/>
                <w:color w:val="auto"/>
              </w:rPr>
            </w:pPr>
          </w:p>
        </w:tc>
        <w:tc>
          <w:tcPr>
            <w:tcW w:w="10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547</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color w:val="auto"/>
              </w:rPr>
              <w:t>Panama</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46</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w:t>
            </w:r>
          </w:p>
        </w:tc>
        <w:tc>
          <w:tcPr>
            <w:tcW w:w="120" w:type="dxa"/>
            <w:vAlign w:val="bottom"/>
          </w:tcPr>
          <w:p>
            <w:pPr>
              <w:spacing w:after="0"/>
              <w:rPr>
                <w:sz w:val="10"/>
                <w:szCs w:val="10"/>
                <w:color w:val="auto"/>
              </w:rPr>
            </w:pPr>
          </w:p>
        </w:tc>
        <w:tc>
          <w:tcPr>
            <w:tcW w:w="11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46</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w:t>
            </w:r>
          </w:p>
        </w:tc>
        <w:tc>
          <w:tcPr>
            <w:tcW w:w="12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204</w:t>
            </w:r>
          </w:p>
        </w:tc>
        <w:tc>
          <w:tcPr>
            <w:tcW w:w="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w:t>
            </w:r>
          </w:p>
        </w:tc>
        <w:tc>
          <w:tcPr>
            <w:tcW w:w="120" w:type="dxa"/>
            <w:vAlign w:val="bottom"/>
          </w:tcPr>
          <w:p>
            <w:pPr>
              <w:spacing w:after="0"/>
              <w:rPr>
                <w:sz w:val="10"/>
                <w:szCs w:val="10"/>
                <w:color w:val="auto"/>
              </w:rPr>
            </w:pPr>
          </w:p>
        </w:tc>
        <w:tc>
          <w:tcPr>
            <w:tcW w:w="10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3"/>
              </w:rPr>
              <w:t>Cayman Islands</w:t>
            </w: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120" w:type="dxa"/>
            <w:vAlign w:val="bottom"/>
            <w:shd w:val="clear" w:color="auto" w:fill="CCFFCC"/>
          </w:tcPr>
          <w:p>
            <w:pPr>
              <w:spacing w:after="0"/>
              <w:rPr>
                <w:sz w:val="10"/>
                <w:szCs w:val="10"/>
                <w:color w:val="auto"/>
              </w:rPr>
            </w:pPr>
          </w:p>
        </w:tc>
        <w:tc>
          <w:tcPr>
            <w:tcW w:w="11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66</w:t>
            </w:r>
          </w:p>
        </w:tc>
        <w:tc>
          <w:tcPr>
            <w:tcW w:w="8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shd w:val="clear" w:color="auto" w:fill="CCFFCC"/>
          </w:tcPr>
          <w:p>
            <w:pPr>
              <w:spacing w:after="0"/>
              <w:rPr>
                <w:sz w:val="10"/>
                <w:szCs w:val="10"/>
                <w:color w:val="auto"/>
              </w:rPr>
            </w:pPr>
          </w:p>
        </w:tc>
        <w:tc>
          <w:tcPr>
            <w:tcW w:w="10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w:t>
            </w:r>
          </w:p>
        </w:tc>
        <w:tc>
          <w:tcPr>
            <w:tcW w:w="60" w:type="dxa"/>
            <w:vAlign w:val="bottom"/>
            <w:shd w:val="clear" w:color="auto" w:fill="CCFFCC"/>
          </w:tcPr>
          <w:p>
            <w:pPr>
              <w:spacing w:after="0"/>
              <w:rPr>
                <w:sz w:val="10"/>
                <w:szCs w:val="10"/>
                <w:color w:val="auto"/>
              </w:rPr>
            </w:pPr>
          </w:p>
        </w:tc>
        <w:tc>
          <w:tcPr>
            <w:tcW w:w="100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w:t>
            </w:r>
          </w:p>
        </w:tc>
        <w:tc>
          <w:tcPr>
            <w:tcW w:w="10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color w:val="auto"/>
              </w:rPr>
              <w:t>Bolivia</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w:t>
            </w:r>
          </w:p>
        </w:tc>
        <w:tc>
          <w:tcPr>
            <w:tcW w:w="12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107</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w:t>
            </w:r>
          </w:p>
        </w:tc>
        <w:tc>
          <w:tcPr>
            <w:tcW w:w="12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112</w:t>
            </w:r>
          </w:p>
        </w:tc>
        <w:tc>
          <w:tcPr>
            <w:tcW w:w="6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w:t>
            </w:r>
          </w:p>
        </w:tc>
        <w:tc>
          <w:tcPr>
            <w:tcW w:w="12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4"/>
              </w:rPr>
              <w:t>United States of</w:t>
            </w: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shd w:val="clear" w:color="auto" w:fill="CCFFCC"/>
          </w:tcPr>
          <w:p>
            <w:pPr>
              <w:spacing w:after="0"/>
              <w:rPr>
                <w:sz w:val="20"/>
                <w:szCs w:val="20"/>
                <w:color w:val="auto"/>
              </w:rPr>
            </w:pPr>
            <w:r>
              <w:rPr>
                <w:rFonts w:ascii="Arial" w:cs="Arial" w:eastAsia="Arial" w:hAnsi="Arial"/>
                <w:sz w:val="11"/>
                <w:szCs w:val="11"/>
                <w:color w:val="auto"/>
              </w:rPr>
              <w:t>America</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FFCC"/>
          </w:tcPr>
          <w:p>
            <w:pPr>
              <w:spacing w:after="0"/>
              <w:rPr>
                <w:sz w:val="11"/>
                <w:szCs w:val="1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10</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FFCC"/>
          </w:tcPr>
          <w:p>
            <w:pPr>
              <w:spacing w:after="0"/>
              <w:rPr>
                <w:sz w:val="11"/>
                <w:szCs w:val="1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39</w:t>
            </w:r>
          </w:p>
        </w:tc>
        <w:tc>
          <w:tcPr>
            <w:tcW w:w="6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w:t>
            </w:r>
          </w:p>
        </w:tc>
        <w:tc>
          <w:tcPr>
            <w:tcW w:w="6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FFCC"/>
          </w:tcPr>
          <w:p>
            <w:pPr>
              <w:spacing w:after="0"/>
              <w:rPr>
                <w:sz w:val="11"/>
                <w:szCs w:val="1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color w:val="auto"/>
              </w:rPr>
              <w:t>Chile</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04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w:t>
            </w:r>
          </w:p>
        </w:tc>
        <w:tc>
          <w:tcPr>
            <w:tcW w:w="11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9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760" w:type="dxa"/>
            <w:vAlign w:val="bottom"/>
          </w:tcPr>
          <w:p>
            <w:pPr>
              <w:spacing w:after="0" w:line="108" w:lineRule="exact"/>
              <w:rPr>
                <w:sz w:val="20"/>
                <w:szCs w:val="20"/>
                <w:color w:val="auto"/>
              </w:rPr>
            </w:pPr>
            <w:r>
              <w:rPr>
                <w:rFonts w:ascii="Arial" w:cs="Arial" w:eastAsia="Arial" w:hAnsi="Arial"/>
                <w:sz w:val="11"/>
                <w:szCs w:val="11"/>
                <w:b w:val="1"/>
                <w:bCs w:val="1"/>
                <w:color w:val="auto"/>
              </w:rPr>
              <w:t>Total</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consolidated</w:t>
            </w:r>
          </w:p>
        </w:tc>
        <w:tc>
          <w:tcPr>
            <w:tcW w:w="580" w:type="dxa"/>
            <w:vAlign w:val="bottom"/>
          </w:tcPr>
          <w:p>
            <w:pPr>
              <w:jc w:val="right"/>
              <w:spacing w:after="0"/>
              <w:rPr>
                <w:sz w:val="20"/>
                <w:szCs w:val="20"/>
                <w:color w:val="auto"/>
              </w:rPr>
            </w:pPr>
            <w:r>
              <w:rPr>
                <w:rFonts w:ascii="Arial" w:cs="Arial" w:eastAsia="Arial" w:hAnsi="Arial"/>
                <w:sz w:val="11"/>
                <w:szCs w:val="11"/>
                <w:color w:val="auto"/>
              </w:rPr>
              <w:t>2,757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1,222</w:t>
            </w: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746</w:t>
            </w:r>
          </w:p>
        </w:tc>
        <w:tc>
          <w:tcPr>
            <w:tcW w:w="10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2,458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1,031</w:t>
            </w:r>
          </w:p>
        </w:tc>
        <w:tc>
          <w:tcPr>
            <w:tcW w:w="120" w:type="dxa"/>
            <w:vAlign w:val="bottom"/>
          </w:tcPr>
          <w:p>
            <w:pPr>
              <w:spacing w:after="0"/>
              <w:rPr>
                <w:sz w:val="11"/>
                <w:szCs w:val="1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1"/>
                <w:szCs w:val="11"/>
                <w:color w:val="auto"/>
              </w:rPr>
              <w:t>680</w:t>
            </w:r>
          </w:p>
        </w:tc>
        <w:tc>
          <w:tcPr>
            <w:tcW w:w="600" w:type="dxa"/>
            <w:vAlign w:val="bottom"/>
          </w:tcPr>
          <w:p>
            <w:pPr>
              <w:jc w:val="right"/>
              <w:spacing w:after="0"/>
              <w:rPr>
                <w:sz w:val="20"/>
                <w:szCs w:val="20"/>
                <w:color w:val="auto"/>
              </w:rPr>
            </w:pPr>
            <w:r>
              <w:rPr>
                <w:rFonts w:ascii="Arial" w:cs="Arial" w:eastAsia="Arial" w:hAnsi="Arial"/>
                <w:sz w:val="11"/>
                <w:szCs w:val="11"/>
                <w:color w:val="auto"/>
              </w:rPr>
              <w:t>2,369</w:t>
            </w:r>
          </w:p>
        </w:tc>
        <w:tc>
          <w:tcPr>
            <w:tcW w:w="6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873</w:t>
            </w: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40" w:hanging="418"/>
        <w:spacing w:after="0"/>
        <w:tabs>
          <w:tab w:leader="none" w:pos="18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1840" w:right="660" w:hanging="508"/>
        <w:spacing w:after="0" w:line="250" w:lineRule="auto"/>
        <w:tabs>
          <w:tab w:leader="none" w:pos="18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ind w:left="1840" w:hanging="643"/>
        <w:spacing w:after="0"/>
        <w:tabs>
          <w:tab w:leader="none" w:pos="18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intangible assets, and goodwill, net.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7" w:lineRule="exact"/>
        <w:rPr>
          <w:rFonts w:ascii="Arial" w:cs="Arial" w:eastAsia="Arial" w:hAnsi="Arial"/>
          <w:sz w:val="18"/>
          <w:szCs w:val="18"/>
          <w:b w:val="1"/>
          <w:bCs w:val="1"/>
          <w:color w:val="auto"/>
        </w:rPr>
      </w:pPr>
    </w:p>
    <w:p>
      <w:pPr>
        <w:jc w:val="both"/>
        <w:ind w:left="1160" w:right="140" w:hanging="652"/>
        <w:spacing w:after="0" w:line="255" w:lineRule="auto"/>
        <w:tabs>
          <w:tab w:leader="none" w:pos="11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2010 and 2009 include transactions with related companies, the Board of Directors, the Group’s key executives (defined as the Management of Credicorp’s ) and enterprises which are controlled by these individuals through their majority shareholding or their role as Chairman or CEO.</w:t>
      </w:r>
    </w:p>
    <w:p>
      <w:pPr>
        <w:spacing w:after="0" w:line="190" w:lineRule="exact"/>
        <w:rPr>
          <w:rFonts w:ascii="Arial" w:cs="Arial" w:eastAsia="Arial" w:hAnsi="Arial"/>
          <w:sz w:val="18"/>
          <w:szCs w:val="18"/>
          <w:color w:val="auto"/>
        </w:rPr>
      </w:pPr>
    </w:p>
    <w:p>
      <w:pPr>
        <w:ind w:left="1160" w:hanging="652"/>
        <w:spacing w:after="0"/>
        <w:tabs>
          <w:tab w:leader="none" w:pos="116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2010 and 2009:</w:t>
      </w: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3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US$(000)</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30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265,566</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Investments available-for-sale and trading securities</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120,486</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30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101,979</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82,051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Contingent credits</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26,994</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30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(1,335)</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income related to loans – income</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7,002</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 - expense</w:t>
            </w:r>
          </w:p>
        </w:tc>
        <w:tc>
          <w:tcPr>
            <w:tcW w:w="30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1,707</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w:t>
            </w:r>
          </w:p>
        </w:tc>
        <w:tc>
          <w:tcPr>
            <w:tcW w:w="3060" w:type="dxa"/>
            <w:vAlign w:val="bottom"/>
          </w:tcPr>
          <w:p>
            <w:pPr>
              <w:jc w:val="right"/>
              <w:ind w:right="90"/>
              <w:spacing w:after="0"/>
              <w:rPr>
                <w:sz w:val="20"/>
                <w:szCs w:val="20"/>
                <w:color w:val="auto"/>
              </w:rPr>
            </w:pPr>
            <w:r>
              <w:rPr>
                <w:rFonts w:ascii="Arial" w:cs="Arial" w:eastAsia="Arial" w:hAnsi="Arial"/>
                <w:sz w:val="18"/>
                <w:szCs w:val="18"/>
                <w:color w:val="auto"/>
              </w:rPr>
              <w:t>2,327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60" w:right="20" w:hanging="652"/>
        <w:spacing w:after="0" w:line="255" w:lineRule="auto"/>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transactions with related parties are made in accordance with normal market conditions available to other customers. As of December 31, 2010, direct loans to related companies are secured by collaterals, and had maturities between January 2011 and November 2018 and accrued an annual average interest rate of 5.91 percent (as of December 31, 2009 had maturities between January 2010 and November 2018 and accrued an annual average interest rate of 5.50 percent). Likewise, as of December 31, 2010, the Group maintain an allowance for loan losses to related parties amounted to US$0.1 million (as of December 31, 2009, the Group does not maintain allowance for loan losses to related parties).</w:t>
      </w:r>
    </w:p>
    <w:p>
      <w:pPr>
        <w:spacing w:after="0" w:line="193" w:lineRule="exact"/>
        <w:rPr>
          <w:rFonts w:ascii="Arial" w:cs="Arial" w:eastAsia="Arial" w:hAnsi="Arial"/>
          <w:sz w:val="18"/>
          <w:szCs w:val="18"/>
          <w:color w:val="auto"/>
        </w:rPr>
      </w:pPr>
    </w:p>
    <w:p>
      <w:pPr>
        <w:ind w:left="1160" w:right="20" w:hanging="652"/>
        <w:spacing w:after="0" w:line="257" w:lineRule="auto"/>
        <w:tabs>
          <w:tab w:leader="none" w:pos="11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of December 31, 2010 and 2009,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2010 and 2009, direct loans to employees, directors and key Management amounted to US$140.0 and US$133.3 million, respectively; said loans are paid monthly and earn interest at market rates.</w:t>
      </w:r>
    </w:p>
    <w:p>
      <w:pPr>
        <w:spacing w:after="0" w:line="18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There are no loans to the Group’s directors and key personnel guaranteed with Credicorp or any of its Subsidiaries’ shares.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160" w:right="240" w:hanging="652"/>
        <w:spacing w:after="0" w:line="277" w:lineRule="auto"/>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2010, 2009 and 2008, comprised the following:</w:t>
      </w:r>
    </w:p>
    <w:p>
      <w:pPr>
        <w:spacing w:after="0" w:line="166" w:lineRule="exact"/>
        <w:rPr>
          <w:sz w:val="20"/>
          <w:szCs w:val="20"/>
          <w:color w:val="auto"/>
        </w:rPr>
      </w:pPr>
    </w:p>
    <w:tbl>
      <w:tblPr>
        <w:tblLayout w:type="fixed"/>
        <w:tblInd w:w="15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Salaries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5,893</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4,720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Share-based compensation plans, note 18</w:t>
            </w:r>
          </w:p>
        </w:tc>
        <w:tc>
          <w:tcPr>
            <w:tcW w:w="1020" w:type="dxa"/>
            <w:vAlign w:val="bottom"/>
          </w:tcPr>
          <w:p>
            <w:pPr>
              <w:jc w:val="right"/>
              <w:spacing w:after="0"/>
              <w:rPr>
                <w:sz w:val="20"/>
                <w:szCs w:val="20"/>
                <w:color w:val="auto"/>
              </w:rPr>
            </w:pPr>
            <w:r>
              <w:rPr>
                <w:rFonts w:ascii="Arial" w:cs="Arial" w:eastAsia="Arial" w:hAnsi="Arial"/>
                <w:sz w:val="18"/>
                <w:szCs w:val="18"/>
                <w:color w:val="auto"/>
              </w:rPr>
              <w:t>19,418</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4,717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1,698</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5,825</w:t>
            </w: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1,415</w:t>
            </w:r>
          </w:p>
        </w:tc>
        <w:tc>
          <w:tcPr>
            <w:tcW w:w="980" w:type="dxa"/>
            <w:vAlign w:val="bottom"/>
          </w:tcPr>
          <w:p>
            <w:pPr>
              <w:jc w:val="right"/>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33,226</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right="100" w:hanging="652"/>
        <w:spacing w:after="0" w:line="264" w:lineRule="auto"/>
        <w:tabs>
          <w:tab w:leader="none" w:pos="11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of December 31, 2010 and 2009, the Group has participations in different mutual funds and hedge funds managed by certain Group’s Subsidiaries; said participations are classified as trading securities or Investments available-for-sale and amounted to approximately US$58.5 and US$62.4 million,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carrying amounts of the financial assets and liabilities captions in the consolidated statements of financial position, by categories as defined under IAS 39:</w:t>
      </w:r>
    </w:p>
    <w:p>
      <w:pPr>
        <w:spacing w:after="0" w:line="279" w:lineRule="exact"/>
        <w:rPr>
          <w:sz w:val="20"/>
          <w:szCs w:val="20"/>
          <w:color w:val="auto"/>
        </w:rPr>
      </w:pPr>
    </w:p>
    <w:p>
      <w:pPr>
        <w:ind w:left="3160"/>
        <w:spacing w:after="0"/>
        <w:tabs>
          <w:tab w:leader="none" w:pos="7900" w:val="left"/>
        </w:tabs>
        <w:rPr>
          <w:sz w:val="20"/>
          <w:szCs w:val="20"/>
          <w:color w:val="auto"/>
        </w:rPr>
      </w:pPr>
      <w:r>
        <w:rPr>
          <w:rFonts w:ascii="Arial" w:cs="Arial" w:eastAsia="Arial" w:hAnsi="Arial"/>
          <w:sz w:val="11"/>
          <w:szCs w:val="11"/>
          <w:b w:val="1"/>
          <w:bCs w:val="1"/>
          <w:color w:val="auto"/>
        </w:rPr>
        <w:t>As of December 31, 2010</w:t>
      </w:r>
      <w:r>
        <w:rPr>
          <w:sz w:val="20"/>
          <w:szCs w:val="20"/>
          <w:color w:val="auto"/>
        </w:rPr>
        <w:tab/>
      </w:r>
      <w:r>
        <w:rPr>
          <w:rFonts w:ascii="Arial" w:cs="Arial" w:eastAsia="Arial" w:hAnsi="Arial"/>
          <w:sz w:val="9"/>
          <w:szCs w:val="9"/>
          <w:b w:val="1"/>
          <w:bCs w:val="1"/>
          <w:color w:val="auto"/>
        </w:rPr>
        <w:t>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wp:posOffset>
            </wp:positionV>
            <wp:extent cx="600329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03290" cy="17145"/>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p>
      <w:pPr>
        <w:spacing w:after="0" w:line="22" w:lineRule="exact"/>
        <w:rPr>
          <w:sz w:val="20"/>
          <w:szCs w:val="20"/>
          <w:color w:val="auto"/>
        </w:rPr>
      </w:pPr>
    </w:p>
    <w:p>
      <w:pPr>
        <w:jc w:val="center"/>
        <w:ind w:right="860"/>
        <w:spacing w:after="0"/>
        <w:rPr>
          <w:sz w:val="20"/>
          <w:szCs w:val="20"/>
          <w:color w:val="auto"/>
        </w:rPr>
      </w:pPr>
      <w:r>
        <w:rPr>
          <w:rFonts w:ascii="Arial" w:cs="Arial" w:eastAsia="Arial" w:hAnsi="Arial"/>
          <w:sz w:val="9"/>
          <w:szCs w:val="9"/>
          <w:b w:val="1"/>
          <w:bCs w:val="1"/>
          <w:color w:val="auto"/>
        </w:rPr>
        <w:t>Financial assets liabilities designated at</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1"/>
          <w:szCs w:val="11"/>
          <w:b w:val="1"/>
          <w:bCs w:val="1"/>
          <w:color w:val="auto"/>
        </w:rPr>
        <w:t>fair value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3380"/>
        <w:spacing w:after="0"/>
        <w:rPr>
          <w:sz w:val="20"/>
          <w:szCs w:val="20"/>
          <w:color w:val="auto"/>
        </w:rPr>
      </w:pPr>
      <w:r>
        <w:rPr>
          <w:rFonts w:ascii="Arial" w:cs="Arial" w:eastAsia="Arial" w:hAnsi="Arial"/>
          <w:sz w:val="9"/>
          <w:szCs w:val="9"/>
          <w:b w:val="1"/>
          <w:bCs w:val="1"/>
          <w:color w:val="auto"/>
        </w:rPr>
        <w:t>Financial assets liabilities designated at</w:t>
      </w:r>
    </w:p>
    <w:p>
      <w:pPr>
        <w:spacing w:after="0" w:line="27" w:lineRule="exact"/>
        <w:rPr>
          <w:sz w:val="20"/>
          <w:szCs w:val="20"/>
          <w:color w:val="auto"/>
        </w:rPr>
      </w:pPr>
    </w:p>
    <w:p>
      <w:pPr>
        <w:jc w:val="center"/>
        <w:ind w:right="3400"/>
        <w:spacing w:after="0"/>
        <w:rPr>
          <w:sz w:val="20"/>
          <w:szCs w:val="20"/>
          <w:color w:val="auto"/>
        </w:rPr>
      </w:pPr>
      <w:r>
        <w:rPr>
          <w:rFonts w:ascii="Arial" w:cs="Arial" w:eastAsia="Arial" w:hAnsi="Arial"/>
          <w:sz w:val="11"/>
          <w:szCs w:val="11"/>
          <w:b w:val="1"/>
          <w:bCs w:val="1"/>
          <w:color w:val="auto"/>
        </w:rPr>
        <w:t>fair value</w:t>
      </w:r>
    </w:p>
    <w:p>
      <w:pPr>
        <w:spacing w:after="0" w:line="1" w:lineRule="exact"/>
        <w:rPr>
          <w:sz w:val="20"/>
          <w:szCs w:val="20"/>
          <w:color w:val="auto"/>
        </w:rPr>
      </w:pPr>
    </w:p>
    <w:p>
      <w:pPr>
        <w:sectPr>
          <w:pgSz w:w="11900" w:h="16838" w:orient="portrait"/>
          <w:cols w:equalWidth="0" w:num="2">
            <w:col w:w="5460" w:space="720"/>
            <w:col w:w="5180"/>
          </w:cols>
          <w:pgMar w:left="240" w:top="483" w:right="299" w:bottom="1440" w:gutter="0" w:footer="0" w:header="0"/>
          <w:type w:val="continuous"/>
        </w:sectPr>
      </w:pPr>
    </w:p>
    <w:tbl>
      <w:tblPr>
        <w:tblLayout w:type="fixed"/>
        <w:tblInd w:w="500" w:type="dxa"/>
        <w:tblCellMar>
          <w:top w:w="0" w:type="dxa"/>
          <w:left w:w="0" w:type="dxa"/>
          <w:bottom w:w="0" w:type="dxa"/>
          <w:right w:w="0" w:type="dxa"/>
        </w:tblCellMar>
      </w:tblPr>
      <w:tr>
        <w:trPr>
          <w:trHeight w:val="11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Borders>
              <w:top w:val="single" w:sz="8" w:color="auto"/>
            </w:tcBorders>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91"/>
              </w:rPr>
              <w:t>Held for trading or</w:t>
            </w: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Loans and</w:t>
            </w:r>
          </w:p>
        </w:tc>
        <w:tc>
          <w:tcPr>
            <w:tcW w:w="8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7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Liabilities at</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Loans and</w:t>
            </w:r>
          </w:p>
        </w:tc>
        <w:tc>
          <w:tcPr>
            <w:tcW w:w="8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7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Liabilities at</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4"/>
              </w:rPr>
              <w:t>hedging</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At inception</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receivables</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available-for-sale</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amortized cost</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10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0"/>
              </w:rPr>
              <w:t>Held for trading</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At inception</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receivables</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available-for-sale</w:t>
            </w:r>
          </w:p>
        </w:tc>
        <w:tc>
          <w:tcPr>
            <w:tcW w:w="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amortized cost</w:t>
            </w:r>
          </w:p>
        </w:tc>
        <w:tc>
          <w:tcPr>
            <w:tcW w:w="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1"/>
                <w:szCs w:val="11"/>
                <w:color w:val="auto"/>
                <w:w w:val="89"/>
              </w:rPr>
              <w:t>US$(000)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1040" w:type="dxa"/>
            <w:vAlign w:val="bottom"/>
            <w:gridSpan w:val="2"/>
          </w:tcPr>
          <w:p>
            <w:pPr>
              <w:jc w:val="right"/>
              <w:ind w:right="460"/>
              <w:spacing w:after="0"/>
              <w:rPr>
                <w:sz w:val="20"/>
                <w:szCs w:val="20"/>
                <w:color w:val="auto"/>
              </w:rPr>
            </w:pPr>
            <w:r>
              <w:rPr>
                <w:rFonts w:ascii="Arial" w:cs="Arial" w:eastAsia="Arial" w:hAnsi="Arial"/>
                <w:sz w:val="11"/>
                <w:szCs w:val="11"/>
                <w:color w:val="auto"/>
              </w:rPr>
              <w:t>US$(000)</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8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w w:val="85"/>
              </w:rPr>
              <w:t>Cash and due from</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rPr>
              <w:t>banks</w:t>
            </w:r>
          </w:p>
        </w:tc>
        <w:tc>
          <w:tcPr>
            <w:tcW w:w="11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8,582,855</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8,582,855</w:t>
            </w:r>
          </w:p>
        </w:tc>
        <w:tc>
          <w:tcPr>
            <w:tcW w:w="80" w:type="dxa"/>
            <w:vAlign w:val="bottom"/>
          </w:tcPr>
          <w:p>
            <w:pPr>
              <w:spacing w:after="0"/>
              <w:rPr>
                <w:sz w:val="11"/>
                <w:szCs w:val="1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3,836,658</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3,836,658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2"/>
              </w:rPr>
              <w:t>Trading securities</w:t>
            </w:r>
          </w:p>
        </w:tc>
        <w:tc>
          <w:tcPr>
            <w:tcW w:w="8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115,568</w:t>
            </w:r>
          </w:p>
        </w:tc>
        <w:tc>
          <w:tcPr>
            <w:tcW w:w="30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115,568</w:t>
            </w:r>
          </w:p>
        </w:tc>
        <w:tc>
          <w:tcPr>
            <w:tcW w:w="8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300"/>
              <w:spacing w:after="0" w:line="122" w:lineRule="exact"/>
              <w:rPr>
                <w:sz w:val="20"/>
                <w:szCs w:val="20"/>
                <w:color w:val="auto"/>
              </w:rPr>
            </w:pPr>
            <w:r>
              <w:rPr>
                <w:rFonts w:ascii="Arial" w:cs="Arial" w:eastAsia="Arial" w:hAnsi="Arial"/>
                <w:sz w:val="11"/>
                <w:szCs w:val="11"/>
                <w:color w:val="auto"/>
              </w:rPr>
              <w:t>70,774</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70,774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rPr>
              <w:t>Investments</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available-for-</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rPr>
              <w:t>sale</w:t>
            </w:r>
          </w:p>
        </w:tc>
        <w:tc>
          <w:tcPr>
            <w:tcW w:w="11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3,768,248</w:t>
            </w:r>
          </w:p>
        </w:tc>
        <w:tc>
          <w:tcPr>
            <w:tcW w:w="8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3,768,248</w:t>
            </w:r>
          </w:p>
        </w:tc>
        <w:tc>
          <w:tcPr>
            <w:tcW w:w="80" w:type="dxa"/>
            <w:vAlign w:val="bottom"/>
          </w:tcPr>
          <w:p>
            <w:pPr>
              <w:spacing w:after="0"/>
              <w:rPr>
                <w:sz w:val="11"/>
                <w:szCs w:val="1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5,079,606</w:t>
            </w:r>
          </w:p>
        </w:tc>
        <w:tc>
          <w:tcPr>
            <w:tcW w:w="8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5,079,606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1180" w:type="dxa"/>
            <w:vAlign w:val="bottom"/>
            <w:gridSpan w:val="2"/>
            <w:shd w:val="clear" w:color="auto" w:fill="CCFFCC"/>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w w:val="94"/>
              </w:rPr>
              <w:t>13,959,655</w:t>
            </w:r>
          </w:p>
        </w:tc>
        <w:tc>
          <w:tcPr>
            <w:tcW w:w="8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0"/>
              </w:rPr>
              <w:t>13,959,655</w:t>
            </w:r>
          </w:p>
        </w:tc>
        <w:tc>
          <w:tcPr>
            <w:tcW w:w="80" w:type="dxa"/>
            <w:vAlign w:val="bottom"/>
            <w:shd w:val="clear" w:color="auto" w:fill="CCFFCC"/>
          </w:tcPr>
          <w:p>
            <w:pPr>
              <w:spacing w:after="0"/>
              <w:rPr>
                <w:sz w:val="10"/>
                <w:szCs w:val="10"/>
                <w:color w:val="auto"/>
              </w:rPr>
            </w:pPr>
          </w:p>
        </w:tc>
        <w:tc>
          <w:tcPr>
            <w:tcW w:w="1040" w:type="dxa"/>
            <w:vAlign w:val="bottom"/>
            <w:gridSpan w:val="2"/>
            <w:shd w:val="clear" w:color="auto" w:fill="CCFFCC"/>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w w:val="94"/>
              </w:rPr>
              <w:t>11,231,280</w:t>
            </w:r>
          </w:p>
        </w:tc>
        <w:tc>
          <w:tcPr>
            <w:tcW w:w="8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0"/>
              </w:rPr>
              <w:t>11,231,280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rPr>
              <w:t>Financial assets</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w w:val="99"/>
              </w:rPr>
              <w:t>designated at</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fair value</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through profit</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rPr>
              <w:t>or loss</w:t>
            </w:r>
          </w:p>
        </w:tc>
        <w:tc>
          <w:tcPr>
            <w:tcW w:w="11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179,055</w:t>
            </w: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179,055</w:t>
            </w:r>
          </w:p>
        </w:tc>
        <w:tc>
          <w:tcPr>
            <w:tcW w:w="80" w:type="dxa"/>
            <w:vAlign w:val="bottom"/>
          </w:tcPr>
          <w:p>
            <w:pPr>
              <w:spacing w:after="0"/>
              <w:rPr>
                <w:sz w:val="11"/>
                <w:szCs w:val="1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135,670</w:t>
            </w: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135,670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Premiums and</w:t>
            </w:r>
          </w:p>
        </w:tc>
        <w:tc>
          <w:tcPr>
            <w:tcW w:w="8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other policies</w:t>
            </w:r>
          </w:p>
        </w:tc>
        <w:tc>
          <w:tcPr>
            <w:tcW w:w="8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receivable</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129,136</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129,136</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121,338</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121,338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rPr>
              <w:t>Accounts</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receivable</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from</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w w:val="93"/>
              </w:rPr>
              <w:t>reinsurers and</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rPr>
              <w:t>coinsurers</w:t>
            </w:r>
          </w:p>
        </w:tc>
        <w:tc>
          <w:tcPr>
            <w:tcW w:w="11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160,249</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160,249</w:t>
            </w:r>
          </w:p>
        </w:tc>
        <w:tc>
          <w:tcPr>
            <w:tcW w:w="80" w:type="dxa"/>
            <w:vAlign w:val="bottom"/>
          </w:tcPr>
          <w:p>
            <w:pPr>
              <w:spacing w:after="0"/>
              <w:rPr>
                <w:sz w:val="11"/>
                <w:szCs w:val="1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137,098</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137,098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Due from</w:t>
            </w:r>
          </w:p>
        </w:tc>
        <w:tc>
          <w:tcPr>
            <w:tcW w:w="8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w w:val="99"/>
              </w:rPr>
              <w:t>customers on</w:t>
            </w:r>
          </w:p>
        </w:tc>
        <w:tc>
          <w:tcPr>
            <w:tcW w:w="8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acceptances</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70,331</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70,331</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96,423</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96,423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w w:val="88"/>
              </w:rPr>
              <w:t>Other assets, note</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40" w:type="dxa"/>
            <w:vAlign w:val="bottom"/>
            <w:gridSpan w:val="2"/>
          </w:tcPr>
          <w:p>
            <w:pPr>
              <w:ind w:left="160"/>
              <w:spacing w:after="0"/>
              <w:rPr>
                <w:sz w:val="20"/>
                <w:szCs w:val="20"/>
                <w:color w:val="auto"/>
              </w:rPr>
            </w:pPr>
            <w:r>
              <w:rPr>
                <w:rFonts w:ascii="Arial" w:cs="Arial" w:eastAsia="Arial" w:hAnsi="Arial"/>
                <w:sz w:val="11"/>
                <w:szCs w:val="11"/>
                <w:color w:val="auto"/>
              </w:rPr>
              <w:t>11</w:t>
            </w:r>
          </w:p>
        </w:tc>
        <w:tc>
          <w:tcPr>
            <w:tcW w:w="880" w:type="dxa"/>
            <w:vAlign w:val="bottom"/>
          </w:tcPr>
          <w:p>
            <w:pPr>
              <w:jc w:val="right"/>
              <w:spacing w:after="0"/>
              <w:rPr>
                <w:sz w:val="20"/>
                <w:szCs w:val="20"/>
                <w:color w:val="auto"/>
              </w:rPr>
            </w:pPr>
            <w:r>
              <w:rPr>
                <w:rFonts w:ascii="Arial" w:cs="Arial" w:eastAsia="Arial" w:hAnsi="Arial"/>
                <w:sz w:val="11"/>
                <w:szCs w:val="11"/>
                <w:color w:val="auto"/>
              </w:rPr>
              <w:t>84,945</w:t>
            </w: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330,711</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415,656</w:t>
            </w:r>
          </w:p>
        </w:tc>
        <w:tc>
          <w:tcPr>
            <w:tcW w:w="8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97,341</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308,406</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405,747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200,513</w:t>
            </w:r>
          </w:p>
        </w:tc>
        <w:tc>
          <w:tcPr>
            <w:tcW w:w="3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179,055</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4"/>
              </w:rPr>
              <w:t>23,232,937</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3,768,248</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w w:val="90"/>
              </w:rPr>
              <w:t>27,380,753</w:t>
            </w:r>
          </w:p>
        </w:tc>
        <w:tc>
          <w:tcPr>
            <w:tcW w:w="80" w:type="dxa"/>
            <w:vAlign w:val="bottom"/>
          </w:tcPr>
          <w:p>
            <w:pPr>
              <w:spacing w:after="0"/>
              <w:rPr>
                <w:sz w:val="10"/>
                <w:szCs w:val="10"/>
                <w:color w:val="auto"/>
              </w:rPr>
            </w:pP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168,115</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135,670</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4"/>
              </w:rPr>
              <w:t>15,731,203</w:t>
            </w: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5,079,606</w:t>
            </w:r>
          </w:p>
        </w:tc>
        <w:tc>
          <w:tcPr>
            <w:tcW w:w="8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0"/>
              </w:rPr>
              <w:t>21,114,594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82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Deposits and</w:t>
            </w:r>
          </w:p>
        </w:tc>
        <w:tc>
          <w:tcPr>
            <w:tcW w:w="8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obligation</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18,068,118</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0"/>
              </w:rPr>
              <w:t>18,068,118</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14,085,098</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w w:val="90"/>
              </w:rPr>
              <w:t>14,085,098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w w:val="92"/>
              </w:rPr>
              <w:t>Due to banks and</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w w:val="86"/>
              </w:rPr>
              <w:t>correspondents</w:t>
            </w:r>
          </w:p>
        </w:tc>
        <w:tc>
          <w:tcPr>
            <w:tcW w:w="11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2,244,446</w:t>
            </w:r>
          </w:p>
        </w:tc>
        <w:tc>
          <w:tcPr>
            <w:tcW w:w="520" w:type="dxa"/>
            <w:vAlign w:val="bottom"/>
          </w:tcPr>
          <w:p>
            <w:pPr>
              <w:jc w:val="right"/>
              <w:spacing w:after="0"/>
              <w:rPr>
                <w:sz w:val="20"/>
                <w:szCs w:val="20"/>
                <w:color w:val="auto"/>
              </w:rPr>
            </w:pPr>
            <w:r>
              <w:rPr>
                <w:rFonts w:ascii="Arial" w:cs="Arial" w:eastAsia="Arial" w:hAnsi="Arial"/>
                <w:sz w:val="11"/>
                <w:szCs w:val="11"/>
                <w:color w:val="auto"/>
              </w:rPr>
              <w:t>2,244,446</w:t>
            </w:r>
          </w:p>
        </w:tc>
        <w:tc>
          <w:tcPr>
            <w:tcW w:w="80" w:type="dxa"/>
            <w:vAlign w:val="bottom"/>
          </w:tcPr>
          <w:p>
            <w:pPr>
              <w:spacing w:after="0"/>
              <w:rPr>
                <w:sz w:val="11"/>
                <w:szCs w:val="1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1,167,438</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1,167,438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Bankers’</w:t>
            </w:r>
          </w:p>
        </w:tc>
        <w:tc>
          <w:tcPr>
            <w:tcW w:w="8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ind w:left="140"/>
              <w:spacing w:after="0" w:line="122" w:lineRule="exact"/>
              <w:rPr>
                <w:sz w:val="20"/>
                <w:szCs w:val="20"/>
                <w:color w:val="auto"/>
              </w:rPr>
            </w:pPr>
            <w:r>
              <w:rPr>
                <w:rFonts w:ascii="Arial" w:cs="Arial" w:eastAsia="Arial" w:hAnsi="Arial"/>
                <w:sz w:val="11"/>
                <w:szCs w:val="11"/>
                <w:color w:val="auto"/>
              </w:rPr>
              <w:t>acceptances</w:t>
            </w:r>
          </w:p>
        </w:tc>
        <w:tc>
          <w:tcPr>
            <w:tcW w:w="8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outstanding</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70,331</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70,331</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96,423</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96,423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w w:val="92"/>
              </w:rPr>
              <w:t>Accounts payable</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ind w:left="140"/>
              <w:spacing w:after="0" w:line="122" w:lineRule="exact"/>
              <w:rPr>
                <w:sz w:val="20"/>
                <w:szCs w:val="20"/>
                <w:color w:val="auto"/>
              </w:rPr>
            </w:pPr>
            <w:r>
              <w:rPr>
                <w:rFonts w:ascii="Arial" w:cs="Arial" w:eastAsia="Arial" w:hAnsi="Arial"/>
                <w:sz w:val="11"/>
                <w:szCs w:val="11"/>
                <w:color w:val="auto"/>
              </w:rPr>
              <w:t>to reinsurers</w:t>
            </w: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w w:val="91"/>
              </w:rPr>
              <w:t>and coinsurers</w:t>
            </w:r>
          </w:p>
        </w:tc>
        <w:tc>
          <w:tcPr>
            <w:tcW w:w="118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60,775</w:t>
            </w:r>
          </w:p>
        </w:tc>
        <w:tc>
          <w:tcPr>
            <w:tcW w:w="520" w:type="dxa"/>
            <w:vAlign w:val="bottom"/>
          </w:tcPr>
          <w:p>
            <w:pPr>
              <w:jc w:val="right"/>
              <w:spacing w:after="0"/>
              <w:rPr>
                <w:sz w:val="20"/>
                <w:szCs w:val="20"/>
                <w:color w:val="auto"/>
              </w:rPr>
            </w:pPr>
            <w:r>
              <w:rPr>
                <w:rFonts w:ascii="Arial" w:cs="Arial" w:eastAsia="Arial" w:hAnsi="Arial"/>
                <w:sz w:val="11"/>
                <w:szCs w:val="11"/>
                <w:color w:val="auto"/>
              </w:rPr>
              <w:t>60,775</w:t>
            </w:r>
          </w:p>
        </w:tc>
        <w:tc>
          <w:tcPr>
            <w:tcW w:w="80" w:type="dxa"/>
            <w:vAlign w:val="bottom"/>
          </w:tcPr>
          <w:p>
            <w:pPr>
              <w:spacing w:after="0"/>
              <w:rPr>
                <w:sz w:val="11"/>
                <w:szCs w:val="1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48,009</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48,009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6"/>
              </w:rPr>
              <w:t>Bonds and notes</w:t>
            </w:r>
          </w:p>
        </w:tc>
        <w:tc>
          <w:tcPr>
            <w:tcW w:w="8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shd w:val="clear" w:color="auto" w:fill="CCFFCC"/>
          </w:tcPr>
          <w:p>
            <w:pPr>
              <w:ind w:left="140"/>
              <w:spacing w:after="0"/>
              <w:rPr>
                <w:sz w:val="20"/>
                <w:szCs w:val="20"/>
                <w:color w:val="auto"/>
              </w:rPr>
            </w:pPr>
            <w:r>
              <w:rPr>
                <w:rFonts w:ascii="Arial" w:cs="Arial" w:eastAsia="Arial" w:hAnsi="Arial"/>
                <w:sz w:val="11"/>
                <w:szCs w:val="11"/>
                <w:color w:val="auto"/>
              </w:rPr>
              <w:t>issued</w:t>
            </w: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3,001,698</w:t>
            </w:r>
          </w:p>
        </w:tc>
        <w:tc>
          <w:tcPr>
            <w:tcW w:w="5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3,001,698</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3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2,382,973</w:t>
            </w:r>
          </w:p>
        </w:tc>
        <w:tc>
          <w:tcPr>
            <w:tcW w:w="58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2,382,973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tcPr>
          <w:p>
            <w:pPr>
              <w:spacing w:after="0" w:line="112" w:lineRule="exact"/>
              <w:rPr>
                <w:sz w:val="20"/>
                <w:szCs w:val="20"/>
                <w:color w:val="auto"/>
              </w:rPr>
            </w:pPr>
            <w:r>
              <w:rPr>
                <w:rFonts w:ascii="Arial" w:cs="Arial" w:eastAsia="Arial" w:hAnsi="Arial"/>
                <w:sz w:val="11"/>
                <w:szCs w:val="11"/>
                <w:color w:val="auto"/>
              </w:rPr>
              <w:t>Other liabilities,</w:t>
            </w: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20" w:type="dxa"/>
            <w:vAlign w:val="bottom"/>
          </w:tcPr>
          <w:p>
            <w:pPr>
              <w:ind w:left="140"/>
              <w:spacing w:after="0"/>
              <w:rPr>
                <w:sz w:val="20"/>
                <w:szCs w:val="20"/>
                <w:color w:val="auto"/>
              </w:rPr>
            </w:pPr>
            <w:r>
              <w:rPr>
                <w:rFonts w:ascii="Arial" w:cs="Arial" w:eastAsia="Arial" w:hAnsi="Arial"/>
                <w:sz w:val="11"/>
                <w:szCs w:val="11"/>
                <w:color w:val="auto"/>
              </w:rPr>
              <w:t>note 11</w:t>
            </w:r>
          </w:p>
        </w:tc>
        <w:tc>
          <w:tcPr>
            <w:tcW w:w="880" w:type="dxa"/>
            <w:vAlign w:val="bottom"/>
          </w:tcPr>
          <w:p>
            <w:pPr>
              <w:jc w:val="right"/>
              <w:spacing w:after="0"/>
              <w:rPr>
                <w:sz w:val="20"/>
                <w:szCs w:val="20"/>
                <w:color w:val="auto"/>
              </w:rPr>
            </w:pPr>
            <w:r>
              <w:rPr>
                <w:rFonts w:ascii="Arial" w:cs="Arial" w:eastAsia="Arial" w:hAnsi="Arial"/>
                <w:sz w:val="11"/>
                <w:szCs w:val="11"/>
                <w:color w:val="auto"/>
              </w:rPr>
              <w:t>136,670</w:t>
            </w:r>
          </w:p>
        </w:tc>
        <w:tc>
          <w:tcPr>
            <w:tcW w:w="3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498,913</w:t>
            </w:r>
          </w:p>
        </w:tc>
        <w:tc>
          <w:tcPr>
            <w:tcW w:w="520" w:type="dxa"/>
            <w:vAlign w:val="bottom"/>
          </w:tcPr>
          <w:p>
            <w:pPr>
              <w:jc w:val="right"/>
              <w:spacing w:after="0"/>
              <w:rPr>
                <w:sz w:val="20"/>
                <w:szCs w:val="20"/>
                <w:color w:val="auto"/>
              </w:rPr>
            </w:pPr>
            <w:r>
              <w:rPr>
                <w:rFonts w:ascii="Arial" w:cs="Arial" w:eastAsia="Arial" w:hAnsi="Arial"/>
                <w:sz w:val="11"/>
                <w:szCs w:val="11"/>
                <w:color w:val="auto"/>
              </w:rPr>
              <w:t>635,583</w:t>
            </w:r>
          </w:p>
        </w:tc>
        <w:tc>
          <w:tcPr>
            <w:tcW w:w="8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167,849</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414,265</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582,114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136,670</w:t>
            </w:r>
          </w:p>
        </w:tc>
        <w:tc>
          <w:tcPr>
            <w:tcW w:w="3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23,944,281</w:t>
            </w:r>
          </w:p>
        </w:tc>
        <w:tc>
          <w:tcPr>
            <w:tcW w:w="520" w:type="dxa"/>
            <w:vAlign w:val="bottom"/>
          </w:tcPr>
          <w:p>
            <w:pPr>
              <w:jc w:val="right"/>
              <w:spacing w:after="0"/>
              <w:rPr>
                <w:sz w:val="20"/>
                <w:szCs w:val="20"/>
                <w:color w:val="auto"/>
              </w:rPr>
            </w:pPr>
            <w:r>
              <w:rPr>
                <w:rFonts w:ascii="Arial" w:cs="Arial" w:eastAsia="Arial" w:hAnsi="Arial"/>
                <w:sz w:val="11"/>
                <w:szCs w:val="11"/>
                <w:color w:val="auto"/>
                <w:w w:val="90"/>
              </w:rPr>
              <w:t>24,080,951</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1"/>
                <w:szCs w:val="11"/>
                <w:color w:val="auto"/>
              </w:rPr>
              <w:t>167,849</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18,194,206</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0"/>
              </w:rPr>
              <w:t>18,362,055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type w:val="continuous"/>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7" w:lineRule="exact"/>
        <w:rPr>
          <w:rFonts w:ascii="Arial" w:cs="Arial" w:eastAsia="Arial" w:hAnsi="Arial"/>
          <w:sz w:val="18"/>
          <w:szCs w:val="18"/>
          <w:b w:val="1"/>
          <w:bCs w:val="1"/>
          <w:color w:val="auto"/>
        </w:rPr>
      </w:pPr>
    </w:p>
    <w:p>
      <w:pPr>
        <w:ind w:left="500" w:right="1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89" w:lineRule="exact"/>
        <w:rPr>
          <w:rFonts w:ascii="Arial" w:cs="Arial" w:eastAsia="Arial" w:hAnsi="Arial"/>
          <w:sz w:val="18"/>
          <w:szCs w:val="18"/>
          <w:b w:val="1"/>
          <w:bCs w:val="1"/>
          <w:color w:val="auto"/>
        </w:rPr>
      </w:pPr>
    </w:p>
    <w:p>
      <w:pPr>
        <w:ind w:left="50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181" w:lineRule="exact"/>
        <w:rPr>
          <w:rFonts w:ascii="Arial" w:cs="Arial" w:eastAsia="Arial" w:hAnsi="Arial"/>
          <w:sz w:val="18"/>
          <w:szCs w:val="18"/>
          <w:b w:val="1"/>
          <w:bCs w:val="1"/>
          <w:color w:val="auto"/>
        </w:rPr>
      </w:pPr>
    </w:p>
    <w:p>
      <w:pPr>
        <w:ind w:left="50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currencies and interest rates.</w:t>
      </w:r>
    </w:p>
    <w:p>
      <w:pPr>
        <w:spacing w:after="0" w:line="170" w:lineRule="exact"/>
        <w:rPr>
          <w:rFonts w:ascii="Arial" w:cs="Arial" w:eastAsia="Arial" w:hAnsi="Arial"/>
          <w:sz w:val="18"/>
          <w:szCs w:val="18"/>
          <w:b w:val="1"/>
          <w:bCs w:val="1"/>
          <w:color w:val="auto"/>
        </w:rPr>
      </w:pPr>
    </w:p>
    <w:p>
      <w:pPr>
        <w:ind w:left="50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86" w:lineRule="exact"/>
        <w:rPr>
          <w:rFonts w:ascii="Arial" w:cs="Arial" w:eastAsia="Arial" w:hAnsi="Arial"/>
          <w:sz w:val="18"/>
          <w:szCs w:val="18"/>
          <w:b w:val="1"/>
          <w:bCs w:val="1"/>
          <w:color w:val="auto"/>
        </w:rPr>
      </w:pPr>
    </w:p>
    <w:p>
      <w:pPr>
        <w:ind w:left="5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70" w:lineRule="exact"/>
        <w:rPr>
          <w:rFonts w:ascii="Arial" w:cs="Arial" w:eastAsia="Arial" w:hAnsi="Arial"/>
          <w:sz w:val="18"/>
          <w:szCs w:val="18"/>
          <w:b w:val="1"/>
          <w:bCs w:val="1"/>
          <w:color w:val="auto"/>
        </w:rPr>
      </w:pPr>
    </w:p>
    <w:p>
      <w:pPr>
        <w:ind w:left="980" w:hanging="486"/>
        <w:spacing w:after="0"/>
        <w:tabs>
          <w:tab w:leader="none" w:pos="9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3" w:lineRule="exact"/>
        <w:rPr>
          <w:rFonts w:ascii="Arial" w:cs="Arial" w:eastAsia="Arial" w:hAnsi="Arial"/>
          <w:sz w:val="18"/>
          <w:szCs w:val="18"/>
          <w:color w:val="auto"/>
        </w:rPr>
      </w:pPr>
    </w:p>
    <w:p>
      <w:pPr>
        <w:ind w:left="980"/>
        <w:spacing w:after="0" w:line="255" w:lineRule="auto"/>
        <w:rPr>
          <w:rFonts w:ascii="Arial" w:cs="Arial" w:eastAsia="Arial" w:hAnsi="Arial"/>
          <w:sz w:val="18"/>
          <w:szCs w:val="18"/>
          <w:color w:val="auto"/>
        </w:rPr>
      </w:pPr>
      <w:r>
        <w:rPr>
          <w:rFonts w:ascii="Arial" w:cs="Arial" w:eastAsia="Arial" w:hAnsi="Arial"/>
          <w:sz w:val="18"/>
          <w:szCs w:val="18"/>
          <w:color w:val="auto"/>
        </w:rPr>
        <w:t>The Group’s Board of Directors and of each subsidiary is ultimately responsible for identifying and controlling risks; however, there are separate independent bodies in the major subsidiaries (BCP, PPS, ASHC, Edyficar and Prima AFP) responsible for managing and monitoring risks, as further explained bellow:</w:t>
      </w:r>
    </w:p>
    <w:p>
      <w:pPr>
        <w:spacing w:after="0" w:line="190" w:lineRule="exact"/>
        <w:rPr>
          <w:sz w:val="20"/>
          <w:szCs w:val="20"/>
          <w:color w:val="auto"/>
        </w:rPr>
      </w:pPr>
    </w:p>
    <w:p>
      <w:pPr>
        <w:ind w:left="1660" w:hanging="639"/>
        <w:spacing w:after="0"/>
        <w:tabs>
          <w:tab w:leader="none" w:pos="1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620" w:right="20"/>
        <w:spacing w:after="0" w:line="254" w:lineRule="auto"/>
        <w:rPr>
          <w:sz w:val="20"/>
          <w:szCs w:val="20"/>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hanging="640"/>
        <w:spacing w:after="0"/>
        <w:tabs>
          <w:tab w:leader="none" w:pos="16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620" w:right="22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w:t>
      </w:r>
    </w:p>
    <w:p>
      <w:pPr>
        <w:spacing w:after="0" w:line="190" w:lineRule="exact"/>
        <w:rPr>
          <w:rFonts w:ascii="Arial" w:cs="Arial" w:eastAsia="Arial" w:hAnsi="Arial"/>
          <w:sz w:val="18"/>
          <w:szCs w:val="18"/>
          <w:color w:val="auto"/>
        </w:rPr>
      </w:pPr>
    </w:p>
    <w:p>
      <w:pPr>
        <w:ind w:left="1620" w:hanging="640"/>
        <w:spacing w:after="0"/>
        <w:tabs>
          <w:tab w:leader="none" w:pos="16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3" w:lineRule="exact"/>
        <w:rPr>
          <w:rFonts w:ascii="Arial" w:cs="Arial" w:eastAsia="Arial" w:hAnsi="Arial"/>
          <w:sz w:val="18"/>
          <w:szCs w:val="18"/>
          <w:color w:val="auto"/>
        </w:rPr>
      </w:pPr>
    </w:p>
    <w:p>
      <w:pPr>
        <w:ind w:left="1620" w:right="58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190" w:lineRule="exact"/>
        <w:rPr>
          <w:rFonts w:ascii="Arial" w:cs="Arial" w:eastAsia="Arial" w:hAnsi="Arial"/>
          <w:sz w:val="18"/>
          <w:szCs w:val="18"/>
          <w:color w:val="auto"/>
        </w:rPr>
      </w:pPr>
    </w:p>
    <w:p>
      <w:pPr>
        <w:ind w:left="1620" w:hanging="640"/>
        <w:spacing w:after="0"/>
        <w:tabs>
          <w:tab w:leader="none" w:pos="16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3" w:lineRule="exact"/>
        <w:rPr>
          <w:rFonts w:ascii="Arial" w:cs="Arial" w:eastAsia="Arial" w:hAnsi="Arial"/>
          <w:sz w:val="18"/>
          <w:szCs w:val="18"/>
          <w:color w:val="auto"/>
        </w:rPr>
      </w:pPr>
    </w:p>
    <w:p>
      <w:pPr>
        <w:ind w:left="1620" w:right="160"/>
        <w:spacing w:after="0" w:line="255"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190" w:lineRule="exact"/>
        <w:rPr>
          <w:rFonts w:ascii="Arial" w:cs="Arial" w:eastAsia="Arial" w:hAnsi="Arial"/>
          <w:sz w:val="18"/>
          <w:szCs w:val="18"/>
          <w:color w:val="auto"/>
        </w:rPr>
      </w:pPr>
    </w:p>
    <w:p>
      <w:pPr>
        <w:ind w:left="1620" w:hanging="640"/>
        <w:spacing w:after="0"/>
        <w:tabs>
          <w:tab w:leader="none" w:pos="16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3"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7"/>
          <w:szCs w:val="17"/>
          <w:color w:val="auto"/>
        </w:rPr>
        <w:t>Treasury Department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173" w:lineRule="exact"/>
        <w:rPr>
          <w:rFonts w:ascii="Arial" w:cs="Arial" w:eastAsia="Arial" w:hAnsi="Arial"/>
          <w:sz w:val="18"/>
          <w:szCs w:val="18"/>
          <w:color w:val="auto"/>
        </w:rPr>
      </w:pPr>
    </w:p>
    <w:p>
      <w:pPr>
        <w:ind w:left="980" w:hanging="486"/>
        <w:spacing w:after="0"/>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3" w:lineRule="exact"/>
        <w:rPr>
          <w:rFonts w:ascii="Arial" w:cs="Arial" w:eastAsia="Arial" w:hAnsi="Arial"/>
          <w:sz w:val="18"/>
          <w:szCs w:val="18"/>
          <w:color w:val="auto"/>
        </w:rPr>
      </w:pPr>
    </w:p>
    <w:p>
      <w:pPr>
        <w:ind w:left="980" w:right="60"/>
        <w:spacing w:after="0" w:line="254" w:lineRule="auto"/>
        <w:rPr>
          <w:rFonts w:ascii="Arial" w:cs="Arial" w:eastAsia="Arial" w:hAnsi="Arial"/>
          <w:sz w:val="18"/>
          <w:szCs w:val="18"/>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189" w:lineRule="exact"/>
        <w:rPr>
          <w:rFonts w:ascii="Arial" w:cs="Arial" w:eastAsia="Arial" w:hAnsi="Arial"/>
          <w:sz w:val="18"/>
          <w:szCs w:val="18"/>
          <w:color w:val="auto"/>
        </w:rPr>
      </w:pPr>
    </w:p>
    <w:p>
      <w:pPr>
        <w:ind w:left="980" w:right="280"/>
        <w:spacing w:after="0" w:line="286" w:lineRule="auto"/>
        <w:rPr>
          <w:rFonts w:ascii="Arial" w:cs="Arial" w:eastAsia="Arial" w:hAnsi="Arial"/>
          <w:sz w:val="18"/>
          <w:szCs w:val="18"/>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spacing w:after="0" w:line="302" w:lineRule="auto"/>
        <w:rPr>
          <w:sz w:val="20"/>
          <w:szCs w:val="20"/>
          <w:color w:val="auto"/>
        </w:rPr>
      </w:pPr>
      <w:r>
        <w:rPr>
          <w:rFonts w:ascii="Arial" w:cs="Arial" w:eastAsia="Arial" w:hAnsi="Arial"/>
          <w:sz w:val="16"/>
          <w:szCs w:val="16"/>
          <w:color w:val="auto"/>
        </w:rPr>
        <w:t>Information compiled from all the Group’s Subsidiaries is examined and processed in order to analyze, control and identify early risks.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assesses the fair value of the investments and the appropriateness of the allowance for credit losses periodically.</w:t>
      </w:r>
    </w:p>
    <w:p>
      <w:pPr>
        <w:spacing w:after="0" w:line="154" w:lineRule="exact"/>
        <w:rPr>
          <w:sz w:val="20"/>
          <w:szCs w:val="20"/>
          <w:color w:val="auto"/>
        </w:rPr>
      </w:pPr>
    </w:p>
    <w:p>
      <w:pPr>
        <w:ind w:left="980" w:hanging="486"/>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3" w:lineRule="exact"/>
        <w:rPr>
          <w:rFonts w:ascii="Arial" w:cs="Arial" w:eastAsia="Arial" w:hAnsi="Arial"/>
          <w:sz w:val="18"/>
          <w:szCs w:val="18"/>
          <w:color w:val="auto"/>
        </w:rPr>
      </w:pPr>
    </w:p>
    <w:p>
      <w:pPr>
        <w:ind w:left="980" w:right="60"/>
        <w:spacing w:after="0" w:line="261" w:lineRule="auto"/>
        <w:rPr>
          <w:rFonts w:ascii="Arial" w:cs="Arial" w:eastAsia="Arial" w:hAnsi="Arial"/>
          <w:sz w:val="18"/>
          <w:szCs w:val="18"/>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183" w:lineRule="exact"/>
        <w:rPr>
          <w:rFonts w:ascii="Arial" w:cs="Arial" w:eastAsia="Arial" w:hAnsi="Arial"/>
          <w:sz w:val="18"/>
          <w:szCs w:val="18"/>
          <w:color w:val="auto"/>
        </w:rPr>
      </w:pPr>
    </w:p>
    <w:p>
      <w:pPr>
        <w:ind w:left="980" w:right="20"/>
        <w:spacing w:after="0" w:line="259" w:lineRule="auto"/>
        <w:rPr>
          <w:rFonts w:ascii="Arial" w:cs="Arial" w:eastAsia="Arial" w:hAnsi="Arial"/>
          <w:sz w:val="18"/>
          <w:szCs w:val="18"/>
          <w:color w:val="auto"/>
        </w:rPr>
      </w:pPr>
      <w:r>
        <w:rPr>
          <w:rFonts w:ascii="Arial" w:cs="Arial" w:eastAsia="Arial" w:hAnsi="Arial"/>
          <w:sz w:val="18"/>
          <w:szCs w:val="18"/>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monthly. In situations of ineffectiveness, the Group will enter into a new hedge relationship to mitigate risk on a continuous basis.</w:t>
      </w:r>
    </w:p>
    <w:p>
      <w:pPr>
        <w:spacing w:after="0" w:line="18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Group actively uses collateral to reduce its credit risks.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3" w:lineRule="exact"/>
        <w:rPr>
          <w:rFonts w:ascii="Arial" w:cs="Arial" w:eastAsia="Arial" w:hAnsi="Arial"/>
          <w:sz w:val="18"/>
          <w:szCs w:val="18"/>
          <w:color w:val="auto"/>
        </w:rPr>
      </w:pPr>
    </w:p>
    <w:p>
      <w:pPr>
        <w:ind w:left="980" w:right="180"/>
        <w:spacing w:after="0" w:line="255" w:lineRule="auto"/>
        <w:rPr>
          <w:rFonts w:ascii="Arial" w:cs="Arial" w:eastAsia="Arial" w:hAnsi="Arial"/>
          <w:sz w:val="18"/>
          <w:szCs w:val="18"/>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90" w:lineRule="exact"/>
        <w:rPr>
          <w:sz w:val="20"/>
          <w:szCs w:val="20"/>
          <w:color w:val="auto"/>
        </w:rPr>
      </w:pPr>
    </w:p>
    <w:p>
      <w:pPr>
        <w:ind w:left="980" w:right="38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29.1.  Credit risk -</w:t>
      </w:r>
    </w:p>
    <w:p>
      <w:pPr>
        <w:spacing w:after="0" w:line="27" w:lineRule="exact"/>
        <w:rPr>
          <w:sz w:val="20"/>
          <w:szCs w:val="20"/>
          <w:color w:val="auto"/>
        </w:rPr>
      </w:pPr>
    </w:p>
    <w:p>
      <w:pPr>
        <w:ind w:left="1620" w:right="80" w:hanging="640"/>
        <w:spacing w:after="0" w:line="269" w:lineRule="auto"/>
        <w:tabs>
          <w:tab w:leader="none" w:pos="16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Group takes on exposure to credit risk, which is the risk that a counterparty will cause a financial loss by failing to discharge an obligation. Credit risk is the most important risk for the Group’s business therefore; Management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(indirect loans), which expose the Group to similar risks to loans (direct loans); they are both mitigated by the same control processes and policies. Likewise, credit risk arising from derivative financial instruments is, at any time, limited to those with positive fair values, as recorded in the consolidated statements of financial position.</w:t>
      </w:r>
    </w:p>
    <w:p>
      <w:pPr>
        <w:spacing w:after="0" w:line="180"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7"/>
          <w:szCs w:val="17"/>
          <w:color w:val="auto"/>
        </w:rPr>
        <w:t>Impairment provisions are provided for losses that have been incurred at the date of the consolidated statements of financial</w:t>
      </w:r>
    </w:p>
    <w:p>
      <w:pPr>
        <w:spacing w:after="0" w:line="34" w:lineRule="exact"/>
        <w:rPr>
          <w:rFonts w:ascii="Arial" w:cs="Arial" w:eastAsia="Arial" w:hAnsi="Arial"/>
          <w:sz w:val="17"/>
          <w:szCs w:val="17"/>
          <w:color w:val="auto"/>
        </w:rPr>
      </w:pPr>
    </w:p>
    <w:p>
      <w:pPr>
        <w:jc w:val="both"/>
        <w:ind w:left="1620" w:right="80"/>
        <w:spacing w:after="0" w:line="255" w:lineRule="auto"/>
        <w:rPr>
          <w:rFonts w:ascii="Arial" w:cs="Arial" w:eastAsia="Arial" w:hAnsi="Arial"/>
          <w:sz w:val="17"/>
          <w:szCs w:val="17"/>
          <w:color w:val="auto"/>
        </w:rPr>
      </w:pPr>
      <w:r>
        <w:rPr>
          <w:rFonts w:ascii="Arial" w:cs="Arial" w:eastAsia="Arial" w:hAnsi="Arial"/>
          <w:sz w:val="18"/>
          <w:szCs w:val="18"/>
          <w:color w:val="auto"/>
        </w:rPr>
        <w:t>position. Significant changes in the economy or in the particular situation of an industry segment that represents a concentration in the Group’s portfolio could result in losses that are different from those provided for at the date of the consolidated statements of financial position.</w:t>
      </w:r>
    </w:p>
    <w:p>
      <w:pPr>
        <w:spacing w:after="0" w:line="190" w:lineRule="exact"/>
        <w:rPr>
          <w:rFonts w:ascii="Arial" w:cs="Arial" w:eastAsia="Arial" w:hAnsi="Arial"/>
          <w:sz w:val="17"/>
          <w:szCs w:val="17"/>
          <w:color w:val="auto"/>
        </w:rPr>
      </w:pPr>
    </w:p>
    <w:p>
      <w:pPr>
        <w:ind w:left="1620" w:right="20"/>
        <w:spacing w:after="0" w:line="259" w:lineRule="auto"/>
        <w:rPr>
          <w:rFonts w:ascii="Arial" w:cs="Arial" w:eastAsia="Arial" w:hAnsi="Arial"/>
          <w:sz w:val="17"/>
          <w:szCs w:val="17"/>
          <w:color w:val="auto"/>
        </w:rPr>
      </w:pPr>
      <w:r>
        <w:rPr>
          <w:rFonts w:ascii="Arial" w:cs="Arial" w:eastAsia="Arial" w:hAnsi="Arial"/>
          <w:sz w:val="18"/>
          <w:szCs w:val="18"/>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frequent reviews. Limits in the level of credit risk by product, industry sector and by geographic segment are approved by the Board of Directors.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26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181" w:lineRule="exact"/>
        <w:rPr>
          <w:sz w:val="20"/>
          <w:szCs w:val="20"/>
          <w:color w:val="auto"/>
        </w:rPr>
      </w:pPr>
    </w:p>
    <w:p>
      <w:pPr>
        <w:ind w:left="2120" w:hanging="491"/>
        <w:spacing w:after="0"/>
        <w:tabs>
          <w:tab w:leader="none" w:pos="21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2120" w:right="220"/>
        <w:spacing w:after="0" w:line="25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security for loans granted. The Group implements guidelines on the acceptability of specific classes of collateral or credit risk mitigation. Main collaterals accepted for loans and advances are mortgages over residential properties; liens over business assets such as premises, inventory and accounts receivable; and liens over financial instruments such as debt securities and equities.</w:t>
      </w:r>
    </w:p>
    <w:p>
      <w:pPr>
        <w:spacing w:after="0" w:line="191" w:lineRule="exact"/>
        <w:rPr>
          <w:rFonts w:ascii="Arial" w:cs="Arial" w:eastAsia="Arial" w:hAnsi="Arial"/>
          <w:sz w:val="18"/>
          <w:szCs w:val="18"/>
          <w:color w:val="auto"/>
        </w:rPr>
      </w:pPr>
    </w:p>
    <w:p>
      <w:pPr>
        <w:ind w:left="2120" w:right="30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and loans to micro entrepreneurs are generally unsecured. In addition, in order to minimize credit loss the Group will seek additional collateral from the counterparty as soon as impairment indicators arise.</w:t>
      </w:r>
    </w:p>
    <w:p>
      <w:pPr>
        <w:spacing w:after="0" w:line="181" w:lineRule="exact"/>
        <w:rPr>
          <w:rFonts w:ascii="Arial" w:cs="Arial" w:eastAsia="Arial" w:hAnsi="Arial"/>
          <w:sz w:val="18"/>
          <w:szCs w:val="18"/>
          <w:color w:val="auto"/>
        </w:rPr>
      </w:pPr>
    </w:p>
    <w:p>
      <w:pPr>
        <w:ind w:left="2120" w:right="22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asset-backed securities and similar instruments, which are secured by portfolios of financial instruments.</w:t>
      </w:r>
    </w:p>
    <w:p>
      <w:pPr>
        <w:spacing w:after="0" w:line="181" w:lineRule="exact"/>
        <w:rPr>
          <w:rFonts w:ascii="Arial" w:cs="Arial" w:eastAsia="Arial" w:hAnsi="Arial"/>
          <w:sz w:val="18"/>
          <w:szCs w:val="18"/>
          <w:color w:val="auto"/>
        </w:rPr>
      </w:pPr>
    </w:p>
    <w:p>
      <w:pPr>
        <w:ind w:left="2120"/>
        <w:spacing w:after="0" w:line="302" w:lineRule="auto"/>
        <w:rPr>
          <w:rFonts w:ascii="Arial" w:cs="Arial" w:eastAsia="Arial" w:hAnsi="Arial"/>
          <w:sz w:val="18"/>
          <w:szCs w:val="18"/>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repossessed properties in an orderly manner. The proceeds are used to reduce or repay the outstanding claim. In general, the Group does not use repossessed properties for its own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120" w:hanging="491"/>
        <w:spacing w:after="0"/>
        <w:tabs>
          <w:tab w:leader="none" w:pos="21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2120"/>
        <w:spacing w:after="0" w:line="270"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(for example, the difference between purchase and sale contracts), by both amount and term. The amount subject to credit risk is limited to the current fair value of instruments that are favorable to the Group (for example, an asset when fair value is positive), which in relation to derivatives is only a small fraction of the contract, or notional values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178" w:lineRule="exact"/>
        <w:rPr>
          <w:rFonts w:ascii="Arial" w:cs="Arial" w:eastAsia="Arial" w:hAnsi="Arial"/>
          <w:sz w:val="18"/>
          <w:szCs w:val="18"/>
          <w:color w:val="auto"/>
        </w:rPr>
      </w:pPr>
    </w:p>
    <w:p>
      <w:pPr>
        <w:ind w:left="212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equity is made in the expectation of a corresponding receipt in cash, securities or equity. Daily settlement limits are established for each counterparty in order to cover the aggregate of all settlement risk arising from the Group’s market transactions on any single day.</w:t>
      </w:r>
    </w:p>
    <w:p>
      <w:pPr>
        <w:spacing w:after="0" w:line="181" w:lineRule="exact"/>
        <w:rPr>
          <w:rFonts w:ascii="Arial" w:cs="Arial" w:eastAsia="Arial" w:hAnsi="Arial"/>
          <w:sz w:val="18"/>
          <w:szCs w:val="18"/>
          <w:color w:val="auto"/>
        </w:rPr>
      </w:pPr>
    </w:p>
    <w:p>
      <w:pPr>
        <w:ind w:left="2120" w:hanging="491"/>
        <w:spacing w:after="0"/>
        <w:tabs>
          <w:tab w:leader="none" w:pos="21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2120"/>
        <w:spacing w:after="0" w:line="271" w:lineRule="auto"/>
        <w:rPr>
          <w:rFonts w:ascii="Arial" w:cs="Arial" w:eastAsia="Arial" w:hAnsi="Arial"/>
          <w:sz w:val="18"/>
          <w:szCs w:val="18"/>
          <w:color w:val="auto"/>
        </w:rPr>
      </w:pPr>
      <w:r>
        <w:rPr>
          <w:rFonts w:ascii="Arial" w:cs="Arial" w:eastAsia="Arial" w:hAnsi="Arial"/>
          <w:sz w:val="17"/>
          <w:szCs w:val="17"/>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79" w:lineRule="exact"/>
        <w:rPr>
          <w:sz w:val="20"/>
          <w:szCs w:val="20"/>
          <w:color w:val="auto"/>
        </w:rPr>
      </w:pPr>
    </w:p>
    <w:p>
      <w:pPr>
        <w:ind w:left="980" w:right="260"/>
        <w:spacing w:after="0" w:line="257" w:lineRule="auto"/>
        <w:rPr>
          <w:sz w:val="20"/>
          <w:szCs w:val="20"/>
          <w:color w:val="auto"/>
        </w:rPr>
      </w:pPr>
      <w:r>
        <w:rPr>
          <w:rFonts w:ascii="Arial" w:cs="Arial" w:eastAsia="Arial" w:hAnsi="Arial"/>
          <w:sz w:val="18"/>
          <w:szCs w:val="18"/>
          <w:color w:val="auto"/>
        </w:rPr>
        <w:t>In order to manage credit risk, as part of the Group’s Risk Management Department, see note 29(a), there is a Risk Management Service Unit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188" w:lineRule="exact"/>
        <w:rPr>
          <w:sz w:val="20"/>
          <w:szCs w:val="20"/>
          <w:color w:val="auto"/>
        </w:rPr>
      </w:pPr>
    </w:p>
    <w:p>
      <w:pPr>
        <w:ind w:left="980" w:right="80"/>
        <w:spacing w:after="0" w:line="297" w:lineRule="auto"/>
        <w:rPr>
          <w:sz w:val="20"/>
          <w:szCs w:val="20"/>
          <w:color w:val="auto"/>
        </w:rPr>
      </w:pPr>
      <w:r>
        <w:rPr>
          <w:rFonts w:ascii="Arial" w:cs="Arial" w:eastAsia="Arial" w:hAnsi="Arial"/>
          <w:sz w:val="16"/>
          <w:szCs w:val="16"/>
          <w:color w:val="auto"/>
        </w:rPr>
        <w:t>Also, a Risk Assessment Committee has been established comprising three directors, the Chief Executive Officer, the Chief Financial Officer, the Deputy Chief Executive Officer, the Risk Division Manager, the Risk Management Department Manager, Central Manager Retail Banking, Central Manager Wholesale Banking, the Credit Division Manager and the Internal Audit department Manager as an observer. Each of the financial indicators prepared by the Risk Management Service Unit are analyzed by this committee on a monthly basis to subsequently evaluate the policies, procedures and limits currently effective at the Group to ensure that an efficient and effective risk management is always in place.</w:t>
      </w:r>
    </w:p>
    <w:p>
      <w:pPr>
        <w:spacing w:after="0" w:line="158" w:lineRule="exact"/>
        <w:rPr>
          <w:sz w:val="20"/>
          <w:szCs w:val="20"/>
          <w:color w:val="auto"/>
        </w:rPr>
      </w:pPr>
    </w:p>
    <w:p>
      <w:pPr>
        <w:ind w:left="980" w:right="20"/>
        <w:spacing w:after="0" w:line="255" w:lineRule="auto"/>
        <w:rPr>
          <w:sz w:val="20"/>
          <w:szCs w:val="20"/>
          <w:color w:val="auto"/>
        </w:rPr>
      </w:pPr>
      <w:r>
        <w:rPr>
          <w:rFonts w:ascii="Arial" w:cs="Arial" w:eastAsia="Arial" w:hAnsi="Arial"/>
          <w:sz w:val="18"/>
          <w:szCs w:val="18"/>
          <w:color w:val="auto"/>
        </w:rPr>
        <w:t>At the same time, the Group has a Credit Division, which establishes the overall credit policies for each and all the businesses in which the Group decides to take part. Said credit policies are set forth based on the guidelines established by the Board of Directors and keeping in mind the statutory financial laws and regulations. It’s main activities are: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bodies, among others.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right="420" w:hanging="486"/>
        <w:spacing w:after="0" w:line="308" w:lineRule="auto"/>
        <w:tabs>
          <w:tab w:leader="none" w:pos="9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2010 and 2009, before the effect of mitigation through any collateral, is the book value of each class of financial assets indicated in note 29.7 and the contingent credits detailed in note 19(a).</w:t>
      </w:r>
    </w:p>
    <w:p>
      <w:pPr>
        <w:spacing w:after="0" w:line="146" w:lineRule="exact"/>
        <w:rPr>
          <w:rFonts w:ascii="Arial" w:cs="Arial" w:eastAsia="Arial" w:hAnsi="Arial"/>
          <w:sz w:val="17"/>
          <w:szCs w:val="17"/>
          <w:color w:val="auto"/>
        </w:rPr>
      </w:pPr>
    </w:p>
    <w:p>
      <w:pPr>
        <w:ind w:left="98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70" w:lineRule="exact"/>
        <w:rPr>
          <w:rFonts w:ascii="Arial" w:cs="Arial" w:eastAsia="Arial" w:hAnsi="Arial"/>
          <w:sz w:val="17"/>
          <w:szCs w:val="17"/>
          <w:color w:val="auto"/>
        </w:rPr>
      </w:pPr>
    </w:p>
    <w:p>
      <w:pPr>
        <w:ind w:left="1620" w:right="320" w:hanging="640"/>
        <w:spacing w:after="0" w:line="277" w:lineRule="auto"/>
        <w:tabs>
          <w:tab w:leader="none" w:pos="1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98 percent of the gross loan portfolio is categorized in the top two grades of the internal rating system as of December 31, 2010 (97 percent as of December 31, 2009);</w:t>
      </w:r>
    </w:p>
    <w:p>
      <w:pPr>
        <w:spacing w:after="0" w:line="170" w:lineRule="exact"/>
        <w:rPr>
          <w:rFonts w:ascii="Arial" w:cs="Arial" w:eastAsia="Arial" w:hAnsi="Arial"/>
          <w:sz w:val="18"/>
          <w:szCs w:val="18"/>
          <w:color w:val="auto"/>
        </w:rPr>
      </w:pPr>
    </w:p>
    <w:p>
      <w:pPr>
        <w:ind w:left="1620" w:right="120" w:hanging="640"/>
        <w:spacing w:after="0" w:line="277" w:lineRule="auto"/>
        <w:tabs>
          <w:tab w:leader="none" w:pos="1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96 percent of the loan portfolio is considered to be neither past due nor impaired as of December 31, 2010 (94 percent as of December 31, 2009);</w:t>
      </w:r>
    </w:p>
    <w:p>
      <w:pPr>
        <w:spacing w:after="0" w:line="170" w:lineRule="exact"/>
        <w:rPr>
          <w:rFonts w:ascii="Arial" w:cs="Arial" w:eastAsia="Arial" w:hAnsi="Arial"/>
          <w:sz w:val="18"/>
          <w:szCs w:val="18"/>
          <w:color w:val="auto"/>
        </w:rPr>
      </w:pPr>
    </w:p>
    <w:p>
      <w:pPr>
        <w:ind w:left="1620" w:right="140" w:hanging="640"/>
        <w:spacing w:after="0" w:line="277" w:lineRule="auto"/>
        <w:tabs>
          <w:tab w:leader="none" w:pos="16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67 percent of the investments have at least investment credit rating (BBB- or higher) or are debt securities issued by BCRP (not rated) as of December 31, 2010 (77 percent as of December 31, 2009); and</w:t>
      </w:r>
    </w:p>
    <w:p>
      <w:pPr>
        <w:spacing w:after="0" w:line="170" w:lineRule="exact"/>
        <w:rPr>
          <w:rFonts w:ascii="Arial" w:cs="Arial" w:eastAsia="Arial" w:hAnsi="Arial"/>
          <w:sz w:val="18"/>
          <w:szCs w:val="18"/>
          <w:color w:val="auto"/>
        </w:rPr>
      </w:pPr>
    </w:p>
    <w:p>
      <w:pPr>
        <w:ind w:left="1620" w:right="60" w:hanging="640"/>
        <w:spacing w:after="0" w:line="342" w:lineRule="auto"/>
        <w:tabs>
          <w:tab w:leader="none" w:pos="162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10 percent and 74 percent of the cash and due from banks represent amounts deposited in the Group’s vaults or in the BCRP (including overnight operations), respectively, as of December 31, 2010 (18 percent and 55 percent, respectively, as of December 31, 2009).</w:t>
      </w:r>
    </w:p>
    <w:p>
      <w:pPr>
        <w:spacing w:after="0" w:line="123" w:lineRule="exact"/>
        <w:rPr>
          <w:rFonts w:ascii="Arial" w:cs="Arial" w:eastAsia="Arial" w:hAnsi="Arial"/>
          <w:sz w:val="16"/>
          <w:szCs w:val="16"/>
          <w:color w:val="auto"/>
        </w:rPr>
      </w:pPr>
    </w:p>
    <w:p>
      <w:pPr>
        <w:ind w:left="980" w:hanging="486"/>
        <w:spacing w:after="0"/>
        <w:tabs>
          <w:tab w:leader="none" w:pos="9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3" w:lineRule="exact"/>
        <w:rPr>
          <w:rFonts w:ascii="Arial" w:cs="Arial" w:eastAsia="Arial" w:hAnsi="Arial"/>
          <w:sz w:val="18"/>
          <w:szCs w:val="18"/>
          <w:color w:val="auto"/>
        </w:rPr>
      </w:pPr>
    </w:p>
    <w:p>
      <w:pPr>
        <w:ind w:left="980" w:right="120"/>
        <w:spacing w:after="0" w:line="255" w:lineRule="auto"/>
        <w:rPr>
          <w:rFonts w:ascii="Arial" w:cs="Arial" w:eastAsia="Arial" w:hAnsi="Arial"/>
          <w:sz w:val="18"/>
          <w:szCs w:val="18"/>
          <w:color w:val="auto"/>
        </w:rPr>
      </w:pPr>
      <w:r>
        <w:rPr>
          <w:rFonts w:ascii="Arial" w:cs="Arial" w:eastAsia="Arial" w:hAnsi="Arial"/>
          <w:sz w:val="18"/>
          <w:szCs w:val="18"/>
          <w:color w:val="auto"/>
        </w:rPr>
        <w:t>Credicorp classifies its loan portfolio into one of five risk categories, depending upon the degree of risk of non-payment of each debtor. The categories used are: (i) normal - A, (ii) potential problems - B, (iii) substandard - C, (iv) doubtful - D and (v) loss - E, which have the following characteristics: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Normal (Class A): Debtors of corporate and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loans are categorized as Class A if payments are current or up to eight days past-due. Residential mortgage loans warrant Class A classification if payments are current or up to thirty days past-due.</w:t>
      </w:r>
    </w:p>
    <w:p>
      <w:pPr>
        <w:spacing w:after="0" w:line="193" w:lineRule="exact"/>
        <w:rPr>
          <w:sz w:val="20"/>
          <w:szCs w:val="20"/>
          <w:color w:val="auto"/>
        </w:rPr>
      </w:pPr>
    </w:p>
    <w:p>
      <w:pPr>
        <w:ind w:left="980" w:right="220"/>
        <w:spacing w:after="0" w:line="255" w:lineRule="auto"/>
        <w:rPr>
          <w:sz w:val="20"/>
          <w:szCs w:val="20"/>
          <w:color w:val="auto"/>
        </w:rPr>
      </w:pPr>
      <w:r>
        <w:rPr>
          <w:rFonts w:ascii="Arial" w:cs="Arial" w:eastAsia="Arial" w:hAnsi="Arial"/>
          <w:sz w:val="18"/>
          <w:szCs w:val="18"/>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loans are categorized as Class B if payments are between 9 and 30 days late. Residential mortgage loans become Class B when payments are between 31 and 60 days late.</w:t>
      </w:r>
    </w:p>
    <w:p>
      <w:pPr>
        <w:spacing w:after="0" w:line="189" w:lineRule="exact"/>
        <w:rPr>
          <w:sz w:val="20"/>
          <w:szCs w:val="20"/>
          <w:color w:val="auto"/>
        </w:rPr>
      </w:pPr>
    </w:p>
    <w:p>
      <w:pPr>
        <w:ind w:left="980" w:right="20"/>
        <w:spacing w:after="0" w:line="272" w:lineRule="auto"/>
        <w:rPr>
          <w:sz w:val="20"/>
          <w:szCs w:val="20"/>
          <w:color w:val="auto"/>
        </w:rPr>
      </w:pPr>
      <w:r>
        <w:rPr>
          <w:rFonts w:ascii="Arial" w:cs="Arial" w:eastAsia="Arial" w:hAnsi="Arial"/>
          <w:sz w:val="17"/>
          <w:szCs w:val="17"/>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loan are categorized as Class C if payments are between 31 and 60 days late. Residential mortgage loans are classified as Class C when payments are between 61 and 120 days late.</w:t>
      </w:r>
    </w:p>
    <w:p>
      <w:pPr>
        <w:spacing w:after="0" w:line="178"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Doubtful (Class D): 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although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right="280"/>
        <w:spacing w:after="0" w:line="279" w:lineRule="auto"/>
        <w:rPr>
          <w:sz w:val="20"/>
          <w:szCs w:val="20"/>
          <w:color w:val="auto"/>
        </w:rPr>
      </w:pPr>
      <w:r>
        <w:rPr>
          <w:rFonts w:ascii="Arial" w:cs="Arial" w:eastAsia="Arial" w:hAnsi="Arial"/>
          <w:sz w:val="17"/>
          <w:szCs w:val="17"/>
          <w:color w:val="auto"/>
        </w:rPr>
        <w:t>Loss credits (Class E): Commercial loans or credits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classifications.</w:t>
      </w:r>
    </w:p>
    <w:p>
      <w:pPr>
        <w:spacing w:after="0" w:line="225"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All loans considered impaired (the ones classified as substandard, doubtful or loss) are analyzed by the Group’s Management, which addresses impairment in two areas: individually assessed allowance and collectively assessed allowance, as follows:</w:t>
      </w:r>
    </w:p>
    <w:p>
      <w:pPr>
        <w:sectPr>
          <w:pgSz w:w="11900" w:h="16838" w:orient="portrait"/>
          <w:cols w:equalWidth="0" w:num="1">
            <w:col w:w="11380"/>
          </w:cols>
          <w:pgMar w:left="240" w:top="483" w:right="279" w:bottom="1440" w:gutter="0" w:footer="0" w:header="0"/>
        </w:sectPr>
      </w:pP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Individually assessed allowance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Group determines the appropriate allowance for each individually significant loan or advance on an individual basis. Items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when determining allowance amounts include the sustainability of the counterparty’s business plan, its ability to improve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once a financial difficulty has arisen, projected cash flows and the expected dividend payout should bankruptcy happens,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availability of other financial support including the realizable value of collateral, and the timing of the expected cash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flows. Impairment losses are evaluated at each reporting date, unless unforeseen circumstances require more careful attention.</w:t>
      </w:r>
    </w:p>
    <w:p>
      <w:pPr>
        <w:spacing w:after="0" w:line="200" w:lineRule="exact"/>
        <w:rPr>
          <w:sz w:val="20"/>
          <w:szCs w:val="20"/>
          <w:color w:val="auto"/>
        </w:rPr>
      </w:pPr>
    </w:p>
    <w:p>
      <w:pPr>
        <w:sectPr>
          <w:pgSz w:w="11900" w:h="16838" w:orient="portrait"/>
          <w:cols w:equalWidth="0" w:num="2">
            <w:col w:w="1040" w:space="580"/>
            <w:col w:w="9760"/>
          </w:cols>
          <w:pgMar w:left="240" w:top="483" w:right="279" w:bottom="1440" w:gutter="0" w:footer="0" w:header="0"/>
          <w:type w:val="continuous"/>
        </w:sectPr>
      </w:pPr>
    </w:p>
    <w:p>
      <w:pPr>
        <w:spacing w:after="0" w:line="22" w:lineRule="exact"/>
        <w:rPr>
          <w:sz w:val="20"/>
          <w:szCs w:val="20"/>
          <w:color w:val="auto"/>
        </w:rPr>
      </w:pPr>
    </w:p>
    <w:p>
      <w:pPr>
        <w:ind w:left="1620" w:right="24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ectPr>
          <w:pgSz w:w="11900" w:h="16838" w:orient="portrait"/>
          <w:cols w:equalWidth="0" w:num="1">
            <w:col w:w="11380"/>
          </w:cols>
          <w:pgMar w:left="240" w:top="483" w:right="279" w:bottom="1440" w:gutter="0" w:footer="0" w:header="0"/>
          <w:type w:val="continuous"/>
        </w:sectPr>
      </w:pP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Collectively assessed allowance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Allowance requirements are assessed collectively for losses on loans and advances that are not individually significant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consumer, microcredit and residential mortgages) and for individually significant loans and advances where there is not yet objective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evidence of individual impairment (included in categories A and B). Allowances are evaluated on each reporting date with each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portfolio receiving a separate review.</w:t>
      </w:r>
    </w:p>
    <w:p>
      <w:pPr>
        <w:spacing w:after="0" w:line="200" w:lineRule="exact"/>
        <w:rPr>
          <w:sz w:val="20"/>
          <w:szCs w:val="20"/>
          <w:color w:val="auto"/>
        </w:rPr>
      </w:pPr>
    </w:p>
    <w:p>
      <w:pPr>
        <w:sectPr>
          <w:pgSz w:w="11900" w:h="16838" w:orient="portrait"/>
          <w:cols w:equalWidth="0" w:num="2">
            <w:col w:w="1040" w:space="580"/>
            <w:col w:w="9760"/>
          </w:cols>
          <w:pgMar w:left="240" w:top="483" w:right="279" w:bottom="1440" w:gutter="0" w:footer="0" w:header="0"/>
          <w:type w:val="continuous"/>
        </w:sectPr>
      </w:pPr>
    </w:p>
    <w:p>
      <w:pPr>
        <w:spacing w:after="0" w:line="11" w:lineRule="exact"/>
        <w:rPr>
          <w:sz w:val="20"/>
          <w:szCs w:val="20"/>
          <w:color w:val="auto"/>
        </w:rPr>
      </w:pPr>
    </w:p>
    <w:p>
      <w:pPr>
        <w:ind w:left="1620" w:right="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Local management is responsible for deciding the length of this period which can extend for as long as one year. The impairment allowance is then reviewed by Management to ensure alignment with the Group’s overall policy.</w:t>
      </w:r>
    </w:p>
    <w:p>
      <w:pPr>
        <w:sectPr>
          <w:pgSz w:w="11900" w:h="16838" w:orient="portrait"/>
          <w:cols w:equalWidth="0" w:num="1">
            <w:col w:w="11380"/>
          </w:cols>
          <w:pgMar w:left="240" w:top="483" w:right="279" w:bottom="1440" w:gutter="0" w:footer="0" w:header="0"/>
          <w:type w:val="continuous"/>
        </w:sectPr>
      </w:pP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Financial guarantees and letter of credit (indirect loans) are assessed and a provision estimated following a similar procedure as for loans.</w:t>
      </w:r>
    </w:p>
    <w:p>
      <w:pPr>
        <w:spacing w:after="0" w:line="248"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 is recorded.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right="60"/>
        <w:spacing w:after="0" w:line="264"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181" w:lineRule="exact"/>
        <w:rPr>
          <w:sz w:val="20"/>
          <w:szCs w:val="20"/>
          <w:color w:val="auto"/>
        </w:rPr>
      </w:pPr>
    </w:p>
    <w:p>
      <w:pPr>
        <w:ind w:left="980" w:right="4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or potential problems; ii) Past due but not impaired loans, comprising past due loans of clients classified as normal or with potential problems and iii) Impaired loans, or those past due loans of clients classified as substandard, doubtful or loss; presented net of the provision for loan losses for each of the loan classifications:</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rPr>
              <w:t>As of December 31, 2010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Commercial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mortgage</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1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30"/>
        </w:trPr>
        <w:tc>
          <w:tcPr>
            <w:tcW w:w="4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Normal</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10,125,086</w:t>
            </w:r>
          </w:p>
        </w:tc>
        <w:tc>
          <w:tcPr>
            <w:tcW w:w="1020" w:type="dxa"/>
            <w:vAlign w:val="bottom"/>
          </w:tcPr>
          <w:p>
            <w:pPr>
              <w:jc w:val="right"/>
              <w:spacing w:after="0"/>
              <w:rPr>
                <w:sz w:val="20"/>
                <w:szCs w:val="20"/>
                <w:color w:val="auto"/>
              </w:rPr>
            </w:pPr>
            <w:r>
              <w:rPr>
                <w:rFonts w:ascii="Arial" w:cs="Arial" w:eastAsia="Arial" w:hAnsi="Arial"/>
                <w:sz w:val="18"/>
                <w:szCs w:val="18"/>
                <w:color w:val="auto"/>
              </w:rPr>
              <w:t>1,964,330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1,478,528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13,567,944</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229,566</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9,711</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13,204</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252,481</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Normal</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170,050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87,020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88,169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345,239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26,974</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13,803</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13,986</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54,763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Substandard</w:t>
            </w:r>
          </w:p>
        </w:tc>
        <w:tc>
          <w:tcPr>
            <w:tcW w:w="1020" w:type="dxa"/>
            <w:vAlign w:val="bottom"/>
          </w:tcPr>
          <w:p>
            <w:pPr>
              <w:jc w:val="right"/>
              <w:spacing w:after="0"/>
              <w:rPr>
                <w:sz w:val="20"/>
                <w:szCs w:val="20"/>
                <w:color w:val="auto"/>
              </w:rPr>
            </w:pPr>
            <w:r>
              <w:rPr>
                <w:rFonts w:ascii="Arial" w:cs="Arial" w:eastAsia="Arial" w:hAnsi="Arial"/>
                <w:sz w:val="18"/>
                <w:szCs w:val="18"/>
                <w:color w:val="auto"/>
              </w:rPr>
              <w:t>67,117</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22,544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38,943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128,604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Doubtful</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63,329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21,271</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36,745</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121,345</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Loss</w:t>
            </w:r>
          </w:p>
        </w:tc>
        <w:tc>
          <w:tcPr>
            <w:tcW w:w="1020" w:type="dxa"/>
            <w:vAlign w:val="bottom"/>
          </w:tcPr>
          <w:p>
            <w:pPr>
              <w:jc w:val="right"/>
              <w:spacing w:after="0"/>
              <w:rPr>
                <w:sz w:val="20"/>
                <w:szCs w:val="20"/>
                <w:color w:val="auto"/>
              </w:rPr>
            </w:pPr>
            <w:r>
              <w:rPr>
                <w:rFonts w:ascii="Arial" w:cs="Arial" w:eastAsia="Arial" w:hAnsi="Arial"/>
                <w:sz w:val="18"/>
                <w:szCs w:val="18"/>
                <w:color w:val="auto"/>
              </w:rPr>
              <w:t>78,645</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26,414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45,632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150,691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4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10,760,767</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2,145,093</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1,715,207</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14,621,067</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w:t>
            </w:r>
          </w:p>
        </w:tc>
      </w:tr>
      <w:tr>
        <w:trPr>
          <w:trHeight w:val="27"/>
        </w:trPr>
        <w:tc>
          <w:tcPr>
            <w:tcW w:w="41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020" w:type="dxa"/>
            <w:vAlign w:val="bottom"/>
          </w:tcPr>
          <w:p>
            <w:pPr>
              <w:jc w:val="right"/>
              <w:spacing w:after="0"/>
              <w:rPr>
                <w:sz w:val="20"/>
                <w:szCs w:val="20"/>
                <w:color w:val="auto"/>
              </w:rPr>
            </w:pPr>
            <w:r>
              <w:rPr>
                <w:rFonts w:ascii="Arial" w:cs="Arial" w:eastAsia="Arial" w:hAnsi="Arial"/>
                <w:sz w:val="18"/>
                <w:szCs w:val="18"/>
                <w:color w:val="auto"/>
              </w:rPr>
              <w:t>256,670</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52,324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106,709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415,703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7"/>
        </w:trPr>
        <w:tc>
          <w:tcPr>
            <w:tcW w:w="4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Total, net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10,504,097</w:t>
            </w:r>
          </w:p>
        </w:tc>
        <w:tc>
          <w:tcPr>
            <w:tcW w:w="20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2,092,769</w:t>
            </w: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1,608,498</w:t>
            </w:r>
          </w:p>
        </w:tc>
        <w:tc>
          <w:tcPr>
            <w:tcW w:w="18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14,205,364</w:t>
            </w: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4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6"/>
          </w:tcPr>
          <w:p>
            <w:pPr>
              <w:ind w:left="740"/>
              <w:spacing w:after="0"/>
              <w:rPr>
                <w:sz w:val="20"/>
                <w:szCs w:val="20"/>
                <w:color w:val="auto"/>
              </w:rPr>
            </w:pPr>
            <w:r>
              <w:rPr>
                <w:rFonts w:ascii="Arial" w:cs="Arial" w:eastAsia="Arial" w:hAnsi="Arial"/>
                <w:sz w:val="18"/>
                <w:szCs w:val="18"/>
                <w:b w:val="1"/>
                <w:bCs w:val="1"/>
                <w:color w:val="auto"/>
              </w:rPr>
              <w:t>As of December 31, 2009</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Commercial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mortgage</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1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30"/>
        </w:trPr>
        <w:tc>
          <w:tcPr>
            <w:tcW w:w="4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Normal</w:t>
            </w:r>
          </w:p>
        </w:tc>
        <w:tc>
          <w:tcPr>
            <w:tcW w:w="1020" w:type="dxa"/>
            <w:vAlign w:val="bottom"/>
          </w:tcPr>
          <w:p>
            <w:pPr>
              <w:jc w:val="right"/>
              <w:spacing w:after="0"/>
              <w:rPr>
                <w:sz w:val="20"/>
                <w:szCs w:val="20"/>
                <w:color w:val="auto"/>
              </w:rPr>
            </w:pPr>
            <w:r>
              <w:rPr>
                <w:rFonts w:ascii="Arial" w:cs="Arial" w:eastAsia="Arial" w:hAnsi="Arial"/>
                <w:sz w:val="18"/>
                <w:szCs w:val="18"/>
                <w:color w:val="auto"/>
              </w:rPr>
              <w:t>7,853,574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1,585,761</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1,254,928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10,694,263</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321,864</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26,962</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11,437</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360,263</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Normal</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154,075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74,621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76,312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305,008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36,525</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17,690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18,091</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72,306</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Substandard</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65,122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15,809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34,741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115,672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Doubtful</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78,475</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19,050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41,864</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139,389</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Loss</w:t>
            </w:r>
          </w:p>
        </w:tc>
        <w:tc>
          <w:tcPr>
            <w:tcW w:w="1020" w:type="dxa"/>
            <w:vAlign w:val="bottom"/>
          </w:tcPr>
          <w:p>
            <w:pPr>
              <w:jc w:val="right"/>
              <w:spacing w:after="0"/>
              <w:rPr>
                <w:sz w:val="20"/>
                <w:szCs w:val="20"/>
                <w:color w:val="auto"/>
              </w:rPr>
            </w:pPr>
            <w:r>
              <w:rPr>
                <w:rFonts w:ascii="Arial" w:cs="Arial" w:eastAsia="Arial" w:hAnsi="Arial"/>
                <w:sz w:val="18"/>
                <w:szCs w:val="18"/>
                <w:color w:val="auto"/>
              </w:rPr>
              <w:t>57,024</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13,843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30,420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101,287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4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8,566,659</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1,753,736</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1,467,793</w:t>
            </w: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11,788,188</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w:t>
            </w:r>
          </w:p>
        </w:tc>
      </w:tr>
      <w:tr>
        <w:trPr>
          <w:trHeight w:val="27"/>
        </w:trPr>
        <w:tc>
          <w:tcPr>
            <w:tcW w:w="41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020" w:type="dxa"/>
            <w:vAlign w:val="bottom"/>
          </w:tcPr>
          <w:p>
            <w:pPr>
              <w:jc w:val="right"/>
              <w:spacing w:after="0"/>
              <w:rPr>
                <w:sz w:val="20"/>
                <w:szCs w:val="20"/>
                <w:color w:val="auto"/>
              </w:rPr>
            </w:pPr>
            <w:r>
              <w:rPr>
                <w:rFonts w:ascii="Arial" w:cs="Arial" w:eastAsia="Arial" w:hAnsi="Arial"/>
                <w:sz w:val="18"/>
                <w:szCs w:val="18"/>
                <w:color w:val="auto"/>
              </w:rPr>
              <w:t>222,104</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41,470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90,781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354,355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7"/>
        </w:trPr>
        <w:tc>
          <w:tcPr>
            <w:tcW w:w="41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Total, net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8,344,555</w:t>
            </w:r>
          </w:p>
        </w:tc>
        <w:tc>
          <w:tcPr>
            <w:tcW w:w="20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1,712,266</w:t>
            </w: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1,377,012</w:t>
            </w:r>
          </w:p>
        </w:tc>
        <w:tc>
          <w:tcPr>
            <w:tcW w:w="18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11,433,833</w:t>
            </w: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41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left="980" w:right="640"/>
        <w:spacing w:after="0" w:line="264" w:lineRule="auto"/>
        <w:rPr>
          <w:sz w:val="20"/>
          <w:szCs w:val="20"/>
          <w:color w:val="auto"/>
        </w:rPr>
      </w:pPr>
      <w:r>
        <w:rPr>
          <w:rFonts w:ascii="Arial" w:cs="Arial" w:eastAsia="Arial" w:hAnsi="Arial"/>
          <w:sz w:val="18"/>
          <w:szCs w:val="18"/>
          <w:color w:val="auto"/>
        </w:rPr>
        <w:t>As of December 31, 2010 and 2009, renegotiated loans amounts to approximately US$76.7 and US$59.4 million, respectively, of which US$12.5 and US$6.5 million, respectively, are classified as neither past due nor impaired, US$0.1 and US$0.2 million past due but not impaired, and US$64.1 and US$52.7 million impaired but not past due.</w:t>
      </w:r>
    </w:p>
    <w:p>
      <w:pPr>
        <w:spacing w:after="0" w:line="181"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The breakdown of the gross amount of impaired loans by class, along with the fair value of related collateral and the amounts of their allowance for loan losses is as follows:</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rPr>
              <w:t>As of December 31, 2010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020" w:type="dxa"/>
            <w:vAlign w:val="bottom"/>
          </w:tcPr>
          <w:p>
            <w:pPr>
              <w:spacing w:after="0"/>
              <w:rPr>
                <w:sz w:val="17"/>
                <w:szCs w:val="17"/>
                <w:color w:val="auto"/>
              </w:rPr>
            </w:pPr>
          </w:p>
        </w:tc>
        <w:tc>
          <w:tcPr>
            <w:tcW w:w="11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17"/>
                <w:szCs w:val="17"/>
                <w:color w:val="auto"/>
              </w:rPr>
            </w:pPr>
          </w:p>
        </w:tc>
        <w:tc>
          <w:tcPr>
            <w:tcW w:w="13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0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mortgage loans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Consumer loans</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30"/>
        </w:trPr>
        <w:tc>
          <w:tcPr>
            <w:tcW w:w="50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r>
      <w:tr>
        <w:trPr>
          <w:trHeight w:val="216"/>
        </w:trPr>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209,091</w:t>
            </w:r>
          </w:p>
        </w:tc>
        <w:tc>
          <w:tcPr>
            <w:tcW w:w="100" w:type="dxa"/>
            <w:vAlign w:val="bottom"/>
            <w:shd w:val="clear" w:color="auto" w:fill="CCFFCC"/>
          </w:tcPr>
          <w:p>
            <w:pPr>
              <w:spacing w:after="0"/>
              <w:rPr>
                <w:sz w:val="22"/>
                <w:szCs w:val="22"/>
                <w:color w:val="auto"/>
              </w:rPr>
            </w:pP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70,229</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121,320</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400,640</w:t>
            </w:r>
          </w:p>
        </w:tc>
        <w:tc>
          <w:tcPr>
            <w:tcW w:w="100" w:type="dxa"/>
            <w:vAlign w:val="bottom"/>
            <w:shd w:val="clear" w:color="auto" w:fill="CCFFCC"/>
          </w:tcPr>
          <w:p>
            <w:pPr>
              <w:spacing w:after="0"/>
              <w:rPr>
                <w:sz w:val="22"/>
                <w:szCs w:val="22"/>
                <w:color w:val="auto"/>
              </w:rPr>
            </w:pPr>
          </w:p>
        </w:tc>
      </w:tr>
      <w:tr>
        <w:trPr>
          <w:trHeight w:val="210"/>
        </w:trPr>
        <w:tc>
          <w:tcPr>
            <w:tcW w:w="50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7"/>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122,067</w:t>
            </w:r>
          </w:p>
        </w:tc>
        <w:tc>
          <w:tcPr>
            <w:tcW w:w="100" w:type="dxa"/>
            <w:vAlign w:val="bottom"/>
            <w:shd w:val="clear" w:color="auto" w:fill="CCFFCC"/>
          </w:tcPr>
          <w:p>
            <w:pPr>
              <w:spacing w:after="0"/>
              <w:rPr>
                <w:sz w:val="22"/>
                <w:szCs w:val="22"/>
                <w:color w:val="auto"/>
              </w:rPr>
            </w:pP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67,417</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11,760</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201,244</w:t>
            </w:r>
          </w:p>
        </w:tc>
        <w:tc>
          <w:tcPr>
            <w:tcW w:w="100" w:type="dxa"/>
            <w:vAlign w:val="bottom"/>
            <w:shd w:val="clear" w:color="auto" w:fill="CCFFCC"/>
          </w:tcPr>
          <w:p>
            <w:pPr>
              <w:spacing w:after="0"/>
              <w:rPr>
                <w:sz w:val="22"/>
                <w:szCs w:val="22"/>
                <w:color w:val="auto"/>
              </w:rPr>
            </w:pPr>
          </w:p>
        </w:tc>
      </w:tr>
      <w:tr>
        <w:trPr>
          <w:trHeight w:val="210"/>
        </w:trPr>
        <w:tc>
          <w:tcPr>
            <w:tcW w:w="50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111,853</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28,944</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70,340</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211,137</w:t>
            </w:r>
          </w:p>
        </w:tc>
      </w:tr>
      <w:tr>
        <w:trPr>
          <w:trHeight w:val="20"/>
        </w:trPr>
        <w:tc>
          <w:tcPr>
            <w:tcW w:w="50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rPr>
              <w:t>As of December 31, 2009</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020" w:type="dxa"/>
            <w:vAlign w:val="bottom"/>
          </w:tcPr>
          <w:p>
            <w:pPr>
              <w:spacing w:after="0"/>
              <w:rPr>
                <w:sz w:val="17"/>
                <w:szCs w:val="17"/>
                <w:color w:val="auto"/>
              </w:rPr>
            </w:pPr>
          </w:p>
        </w:tc>
        <w:tc>
          <w:tcPr>
            <w:tcW w:w="110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Commercial</w:t>
            </w:r>
          </w:p>
        </w:tc>
        <w:tc>
          <w:tcPr>
            <w:tcW w:w="80" w:type="dxa"/>
            <w:vAlign w:val="bottom"/>
          </w:tcPr>
          <w:p>
            <w:pPr>
              <w:spacing w:after="0"/>
              <w:rPr>
                <w:sz w:val="17"/>
                <w:szCs w:val="17"/>
                <w:color w:val="auto"/>
              </w:rPr>
            </w:pPr>
          </w:p>
        </w:tc>
        <w:tc>
          <w:tcPr>
            <w:tcW w:w="13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0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mortgage loans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Consumer loans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30"/>
        </w:trPr>
        <w:tc>
          <w:tcPr>
            <w:tcW w:w="50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200,621</w:t>
            </w:r>
          </w:p>
        </w:tc>
        <w:tc>
          <w:tcPr>
            <w:tcW w:w="100" w:type="dxa"/>
            <w:vAlign w:val="bottom"/>
            <w:shd w:val="clear" w:color="auto" w:fill="CCFFCC"/>
          </w:tcPr>
          <w:p>
            <w:pPr>
              <w:spacing w:after="0"/>
              <w:rPr>
                <w:sz w:val="22"/>
                <w:szCs w:val="22"/>
                <w:color w:val="auto"/>
              </w:rPr>
            </w:pP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48,702</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107,025</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356,348</w:t>
            </w:r>
          </w:p>
        </w:tc>
        <w:tc>
          <w:tcPr>
            <w:tcW w:w="100" w:type="dxa"/>
            <w:vAlign w:val="bottom"/>
            <w:shd w:val="clear" w:color="auto" w:fill="CCFFCC"/>
          </w:tcPr>
          <w:p>
            <w:pPr>
              <w:spacing w:after="0"/>
              <w:rPr>
                <w:sz w:val="22"/>
                <w:szCs w:val="22"/>
                <w:color w:val="auto"/>
              </w:rPr>
            </w:pPr>
          </w:p>
        </w:tc>
      </w:tr>
      <w:tr>
        <w:trPr>
          <w:trHeight w:val="210"/>
        </w:trPr>
        <w:tc>
          <w:tcPr>
            <w:tcW w:w="50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7"/>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97,265</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34,378</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12,113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143,756</w:t>
            </w:r>
          </w:p>
        </w:tc>
        <w:tc>
          <w:tcPr>
            <w:tcW w:w="100" w:type="dxa"/>
            <w:vAlign w:val="bottom"/>
            <w:shd w:val="clear" w:color="auto" w:fill="CCFFCC"/>
          </w:tcPr>
          <w:p>
            <w:pPr>
              <w:spacing w:after="0"/>
              <w:rPr>
                <w:sz w:val="22"/>
                <w:szCs w:val="22"/>
                <w:color w:val="auto"/>
              </w:rPr>
            </w:pPr>
          </w:p>
        </w:tc>
      </w:tr>
      <w:tr>
        <w:trPr>
          <w:trHeight w:val="210"/>
        </w:trPr>
        <w:tc>
          <w:tcPr>
            <w:tcW w:w="50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86,749</w:t>
            </w: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11,551</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64,361</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162,661</w:t>
            </w:r>
          </w:p>
        </w:tc>
        <w:tc>
          <w:tcPr>
            <w:tcW w:w="100" w:type="dxa"/>
            <w:vAlign w:val="bottom"/>
            <w:shd w:val="clear" w:color="auto" w:fill="CCFFCC"/>
          </w:tcPr>
          <w:p>
            <w:pPr>
              <w:spacing w:after="0"/>
              <w:rPr>
                <w:sz w:val="20"/>
                <w:szCs w:val="20"/>
                <w:color w:val="auto"/>
              </w:rPr>
            </w:pPr>
          </w:p>
        </w:tc>
      </w:tr>
      <w:tr>
        <w:trPr>
          <w:trHeight w:val="20"/>
        </w:trPr>
        <w:tc>
          <w:tcPr>
            <w:tcW w:w="50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980" w:hanging="486"/>
        <w:spacing w:after="0"/>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and available-for-sale -</w:t>
      </w:r>
    </w:p>
    <w:p>
      <w:pPr>
        <w:spacing w:after="0" w:line="23" w:lineRule="exact"/>
        <w:rPr>
          <w:rFonts w:ascii="Arial" w:cs="Arial" w:eastAsia="Arial" w:hAnsi="Arial"/>
          <w:sz w:val="18"/>
          <w:szCs w:val="18"/>
          <w:color w:val="auto"/>
        </w:rPr>
      </w:pPr>
    </w:p>
    <w:p>
      <w:pPr>
        <w:ind w:left="980" w:right="60"/>
        <w:spacing w:after="0" w:line="271" w:lineRule="auto"/>
        <w:rPr>
          <w:rFonts w:ascii="Arial" w:cs="Arial" w:eastAsia="Arial" w:hAnsi="Arial"/>
          <w:sz w:val="18"/>
          <w:szCs w:val="18"/>
          <w:color w:val="auto"/>
        </w:rPr>
      </w:pPr>
      <w:r>
        <w:rPr>
          <w:rFonts w:ascii="Arial" w:cs="Arial" w:eastAsia="Arial" w:hAnsi="Arial"/>
          <w:sz w:val="17"/>
          <w:szCs w:val="17"/>
          <w:color w:val="auto"/>
        </w:rPr>
        <w:t>The Group evaluates the credit risk identified of each of the financial instruments in these categories, considering the risk rating granted to them by a risk rating agency. For investments traded in Peru, the risk ratings use are those provided by the three most prestigious Peruvian rating agencies (authorized by the Peruvian government regulator) and for investments traded abroad, the risk-ratings used are those provided by the three most prestigious. In the event any subsidiary use a risk-rating prepared by any other risk rating agency, such risk-ratings are standardized with those provided by the afore-mentioned institutions for consolidation purposes.</w:t>
      </w:r>
    </w:p>
    <w:p>
      <w:pPr>
        <w:spacing w:after="0" w:line="17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The following table shows the analysis of the risk-rating of available-for-sale investments, provided by the institutions referred to above:</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24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6"/>
              </w:rPr>
              <w:t>As of December 31, 2010</w:t>
            </w:r>
          </w:p>
        </w:tc>
        <w:tc>
          <w:tcPr>
            <w:tcW w:w="226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As of December 31, 2009</w:t>
            </w:r>
          </w:p>
        </w:tc>
      </w:tr>
      <w:tr>
        <w:trPr>
          <w:trHeight w:val="230"/>
        </w:trPr>
        <w:tc>
          <w:tcPr>
            <w:tcW w:w="5340" w:type="dxa"/>
            <w:vAlign w:val="bottom"/>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US$(000)</w:t>
            </w:r>
          </w:p>
        </w:tc>
        <w:tc>
          <w:tcPr>
            <w:tcW w:w="1220" w:type="dxa"/>
            <w:vAlign w:val="bottom"/>
            <w:tcBorders>
              <w:top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US$(000)</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5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 and abroad</w:t>
            </w: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AAA</w:t>
            </w:r>
          </w:p>
        </w:tc>
        <w:tc>
          <w:tcPr>
            <w:tcW w:w="1020" w:type="dxa"/>
            <w:vAlign w:val="bottom"/>
          </w:tcPr>
          <w:p>
            <w:pPr>
              <w:jc w:val="right"/>
              <w:spacing w:after="0"/>
              <w:rPr>
                <w:sz w:val="20"/>
                <w:szCs w:val="20"/>
                <w:color w:val="auto"/>
              </w:rPr>
            </w:pPr>
            <w:r>
              <w:rPr>
                <w:rFonts w:ascii="Arial" w:cs="Arial" w:eastAsia="Arial" w:hAnsi="Arial"/>
                <w:sz w:val="18"/>
                <w:szCs w:val="18"/>
                <w:color w:val="auto"/>
              </w:rPr>
              <w:t>299,628</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341,344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259,364</w:t>
            </w:r>
          </w:p>
        </w:tc>
        <w:tc>
          <w:tcPr>
            <w:tcW w:w="14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283,103</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 to A+</w:t>
            </w:r>
          </w:p>
        </w:tc>
        <w:tc>
          <w:tcPr>
            <w:tcW w:w="1020" w:type="dxa"/>
            <w:vAlign w:val="bottom"/>
          </w:tcPr>
          <w:p>
            <w:pPr>
              <w:jc w:val="right"/>
              <w:spacing w:after="0"/>
              <w:rPr>
                <w:sz w:val="20"/>
                <w:szCs w:val="20"/>
                <w:color w:val="auto"/>
              </w:rPr>
            </w:pPr>
            <w:r>
              <w:rPr>
                <w:rFonts w:ascii="Arial" w:cs="Arial" w:eastAsia="Arial" w:hAnsi="Arial"/>
                <w:sz w:val="18"/>
                <w:szCs w:val="18"/>
                <w:color w:val="auto"/>
              </w:rPr>
              <w:t>502,794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470,347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1,101,255</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1,284,826</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BB- to BB+</w:t>
            </w:r>
          </w:p>
        </w:tc>
        <w:tc>
          <w:tcPr>
            <w:tcW w:w="1020" w:type="dxa"/>
            <w:vAlign w:val="bottom"/>
          </w:tcPr>
          <w:p>
            <w:pPr>
              <w:jc w:val="right"/>
              <w:spacing w:after="0"/>
              <w:rPr>
                <w:sz w:val="20"/>
                <w:szCs w:val="20"/>
                <w:color w:val="auto"/>
              </w:rPr>
            </w:pPr>
            <w:r>
              <w:rPr>
                <w:rFonts w:ascii="Arial" w:cs="Arial" w:eastAsia="Arial" w:hAnsi="Arial"/>
                <w:sz w:val="18"/>
                <w:szCs w:val="18"/>
                <w:color w:val="auto"/>
              </w:rPr>
              <w:t>271,452</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324,118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236,610</w:t>
            </w:r>
          </w:p>
        </w:tc>
        <w:tc>
          <w:tcPr>
            <w:tcW w:w="14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243,199</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Unrated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1,097,145</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2,132,669</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37"/>
        </w:trPr>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3,768,248</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5,079,606</w:t>
            </w: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53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620" w:right="300" w:hanging="640"/>
        <w:spacing w:after="0" w:line="279" w:lineRule="auto"/>
        <w:tabs>
          <w:tab w:leader="none" w:pos="162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As of December 31, 2010, includes principally US$363.9 million of Peruvian Central Bank Certificates of Deposit, which represent 9.66 percent of the investments available-for-sale balance (US$1,545.7 million, which represent 30.43 percent as of December 31, 2009). It also includes US$529.3, US$11.1 and US$77.1 million of listed and non-listed equity securities and mutual funds, respectively (US$290.2, US$40.6 and US$174.5 million as of December 31, 2009,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hanging="486"/>
        <w:spacing w:after="0"/>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3" w:lineRule="exact"/>
        <w:rPr>
          <w:rFonts w:ascii="Arial" w:cs="Arial" w:eastAsia="Arial" w:hAnsi="Arial"/>
          <w:sz w:val="18"/>
          <w:szCs w:val="18"/>
          <w:color w:val="auto"/>
        </w:rPr>
      </w:pPr>
    </w:p>
    <w:p>
      <w:pPr>
        <w:ind w:left="98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2010 and 2009, financial instruments with exposure to credit risk were distributed considering the following economic sectors:</w:t>
      </w:r>
    </w:p>
    <w:p>
      <w:pPr>
        <w:sectPr>
          <w:pgSz w:w="11900" w:h="16838" w:orient="portrait"/>
          <w:cols w:equalWidth="0" w:num="1">
            <w:col w:w="11020"/>
          </w:cols>
          <w:pgMar w:left="240" w:top="483" w:right="639" w:bottom="1440" w:gutter="0" w:footer="0" w:header="0"/>
        </w:sectPr>
      </w:pPr>
    </w:p>
    <w:p>
      <w:pPr>
        <w:spacing w:after="0" w:line="279" w:lineRule="exact"/>
        <w:rPr>
          <w:sz w:val="20"/>
          <w:szCs w:val="20"/>
          <w:color w:val="auto"/>
        </w:rPr>
      </w:pPr>
    </w:p>
    <w:p>
      <w:pPr>
        <w:jc w:val="right"/>
        <w:ind w:right="1400"/>
        <w:spacing w:after="0"/>
        <w:rPr>
          <w:sz w:val="20"/>
          <w:szCs w:val="20"/>
          <w:color w:val="auto"/>
        </w:rPr>
      </w:pPr>
      <w:r>
        <w:rPr>
          <w:rFonts w:ascii="Arial" w:cs="Arial" w:eastAsia="Arial" w:hAnsi="Arial"/>
          <w:sz w:val="11"/>
          <w:szCs w:val="11"/>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5715</wp:posOffset>
            </wp:positionV>
            <wp:extent cx="271843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9"/>
          <w:szCs w:val="9"/>
          <w:b w:val="1"/>
          <w:bCs w:val="1"/>
          <w:color w:val="auto"/>
        </w:rPr>
        <w:t>Designated at fair value through</w:t>
      </w:r>
    </w:p>
    <w:p>
      <w:pPr>
        <w:spacing w:after="0" w:line="30" w:lineRule="exact"/>
        <w:rPr>
          <w:sz w:val="20"/>
          <w:szCs w:val="20"/>
          <w:color w:val="auto"/>
        </w:rPr>
      </w:pPr>
    </w:p>
    <w:p>
      <w:pPr>
        <w:jc w:val="center"/>
        <w:ind w:right="140"/>
        <w:spacing w:after="0"/>
        <w:rPr>
          <w:sz w:val="20"/>
          <w:szCs w:val="20"/>
          <w:color w:val="auto"/>
        </w:rPr>
      </w:pPr>
      <w:r>
        <w:rPr>
          <w:rFonts w:ascii="Arial" w:cs="Arial" w:eastAsia="Arial" w:hAnsi="Arial"/>
          <w:sz w:val="11"/>
          <w:szCs w:val="11"/>
          <w:b w:val="1"/>
          <w:bCs w:val="1"/>
          <w:color w:val="auto"/>
        </w:rPr>
        <w:t>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-1270</wp:posOffset>
            </wp:positionV>
            <wp:extent cx="9950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950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right"/>
        <w:ind w:right="2500"/>
        <w:spacing w:after="0"/>
        <w:rPr>
          <w:sz w:val="20"/>
          <w:szCs w:val="20"/>
          <w:color w:val="auto"/>
        </w:rPr>
      </w:pPr>
      <w:r>
        <w:rPr>
          <w:rFonts w:ascii="Arial" w:cs="Arial" w:eastAsia="Arial" w:hAnsi="Arial"/>
          <w:sz w:val="11"/>
          <w:szCs w:val="11"/>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271843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2" w:lineRule="exact"/>
        <w:rPr>
          <w:sz w:val="20"/>
          <w:szCs w:val="20"/>
          <w:color w:val="auto"/>
        </w:rPr>
      </w:pPr>
    </w:p>
    <w:p>
      <w:pPr>
        <w:jc w:val="center"/>
        <w:ind w:right="3240"/>
        <w:spacing w:after="0"/>
        <w:rPr>
          <w:sz w:val="20"/>
          <w:szCs w:val="20"/>
          <w:color w:val="auto"/>
        </w:rPr>
      </w:pPr>
      <w:r>
        <w:rPr>
          <w:rFonts w:ascii="Arial" w:cs="Arial" w:eastAsia="Arial" w:hAnsi="Arial"/>
          <w:sz w:val="9"/>
          <w:szCs w:val="9"/>
          <w:b w:val="1"/>
          <w:bCs w:val="1"/>
          <w:color w:val="auto"/>
        </w:rPr>
        <w:t>Designated at fair value through</w:t>
      </w:r>
    </w:p>
    <w:p>
      <w:pPr>
        <w:spacing w:after="0" w:line="30" w:lineRule="exact"/>
        <w:rPr>
          <w:sz w:val="20"/>
          <w:szCs w:val="20"/>
          <w:color w:val="auto"/>
        </w:rPr>
      </w:pPr>
    </w:p>
    <w:p>
      <w:pPr>
        <w:jc w:val="center"/>
        <w:ind w:right="3200"/>
        <w:spacing w:after="0"/>
        <w:rPr>
          <w:sz w:val="20"/>
          <w:szCs w:val="20"/>
          <w:color w:val="auto"/>
        </w:rPr>
      </w:pPr>
      <w:r>
        <w:rPr>
          <w:rFonts w:ascii="Arial" w:cs="Arial" w:eastAsia="Arial" w:hAnsi="Arial"/>
          <w:sz w:val="11"/>
          <w:szCs w:val="11"/>
          <w:b w:val="1"/>
          <w:bCs w:val="1"/>
          <w:color w:val="auto"/>
        </w:rPr>
        <w:t>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-1270</wp:posOffset>
            </wp:positionV>
            <wp:extent cx="9950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95045" cy="17145"/>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5580" w:space="720"/>
            <w:col w:w="4720"/>
          </w:cols>
          <w:pgMar w:left="240" w:top="483" w:right="639" w:bottom="1440" w:gutter="0" w:footer="0" w:header="0"/>
          <w:type w:val="continuous"/>
        </w:sectPr>
      </w:pPr>
    </w:p>
    <w:tbl>
      <w:tblPr>
        <w:tblLayout w:type="fixed"/>
        <w:tblInd w:w="9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1"/>
              </w:rPr>
              <w:t>Held for trading and</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8"/>
              </w:rPr>
              <w:t>Investments available-</w:t>
            </w:r>
          </w:p>
        </w:tc>
        <w:tc>
          <w:tcPr>
            <w:tcW w:w="5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1"/>
              </w:rPr>
              <w:t>Held for trading and</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8"/>
              </w:rPr>
              <w:t>Investments available-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hedging</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w w:val="84"/>
              </w:rPr>
              <w:t>At inception</w:t>
            </w: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w w:val="84"/>
              </w:rPr>
              <w:t>Loans and receivables</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0"/>
              </w:rPr>
              <w:t>for-sale</w:t>
            </w: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hedging</w:t>
            </w:r>
          </w:p>
        </w:tc>
        <w:tc>
          <w:tcPr>
            <w:tcW w:w="1680" w:type="dxa"/>
            <w:vAlign w:val="bottom"/>
            <w:gridSpan w:val="2"/>
          </w:tcPr>
          <w:p>
            <w:pPr>
              <w:jc w:val="right"/>
              <w:spacing w:after="0"/>
              <w:rPr>
                <w:sz w:val="20"/>
                <w:szCs w:val="20"/>
                <w:color w:val="auto"/>
              </w:rPr>
            </w:pPr>
            <w:r>
              <w:rPr>
                <w:rFonts w:ascii="Arial" w:cs="Arial" w:eastAsia="Arial" w:hAnsi="Arial"/>
                <w:sz w:val="11"/>
                <w:szCs w:val="11"/>
                <w:b w:val="1"/>
                <w:bCs w:val="1"/>
                <w:color w:val="auto"/>
                <w:w w:val="87"/>
              </w:rPr>
              <w:t>At inception Loans and receivables</w:t>
            </w:r>
          </w:p>
        </w:tc>
        <w:tc>
          <w:tcPr>
            <w:tcW w:w="1080" w:type="dxa"/>
            <w:vAlign w:val="bottom"/>
          </w:tcPr>
          <w:p>
            <w:pPr>
              <w:jc w:val="center"/>
              <w:ind w:right="6"/>
              <w:spacing w:after="0"/>
              <w:rPr>
                <w:sz w:val="20"/>
                <w:szCs w:val="20"/>
                <w:color w:val="auto"/>
              </w:rPr>
            </w:pPr>
            <w:r>
              <w:rPr>
                <w:rFonts w:ascii="Arial" w:cs="Arial" w:eastAsia="Arial" w:hAnsi="Arial"/>
                <w:sz w:val="11"/>
                <w:szCs w:val="11"/>
                <w:b w:val="1"/>
                <w:bCs w:val="1"/>
                <w:color w:val="auto"/>
                <w:w w:val="85"/>
              </w:rPr>
              <w:t>for-sale</w:t>
            </w: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color w:val="auto"/>
                <w:w w:val="89"/>
              </w:rPr>
              <w:t>US$(000)</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060" w:type="dxa"/>
            <w:vAlign w:val="bottom"/>
          </w:tcPr>
          <w:p>
            <w:pPr>
              <w:jc w:val="right"/>
              <w:ind w:right="286"/>
              <w:spacing w:after="0"/>
              <w:rPr>
                <w:sz w:val="20"/>
                <w:szCs w:val="20"/>
                <w:color w:val="auto"/>
              </w:rPr>
            </w:pPr>
            <w:r>
              <w:rPr>
                <w:rFonts w:ascii="Arial" w:cs="Arial" w:eastAsia="Arial" w:hAnsi="Arial"/>
                <w:sz w:val="11"/>
                <w:szCs w:val="11"/>
                <w:color w:val="auto"/>
              </w:rPr>
              <w:t>US$(000)</w:t>
            </w:r>
          </w:p>
        </w:tc>
        <w:tc>
          <w:tcPr>
            <w:tcW w:w="108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w w:val="97"/>
              </w:rPr>
              <w:t>US$(000)</w:t>
            </w:r>
          </w:p>
        </w:tc>
        <w:tc>
          <w:tcPr>
            <w:tcW w:w="1000" w:type="dxa"/>
            <w:vAlign w:val="bottom"/>
          </w:tcPr>
          <w:p>
            <w:pPr>
              <w:jc w:val="center"/>
              <w:ind w:right="6"/>
              <w:spacing w:after="0"/>
              <w:rPr>
                <w:sz w:val="20"/>
                <w:szCs w:val="20"/>
                <w:color w:val="auto"/>
              </w:rPr>
            </w:pPr>
            <w:r>
              <w:rPr>
                <w:rFonts w:ascii="Arial" w:cs="Arial" w:eastAsia="Arial" w:hAnsi="Arial"/>
                <w:sz w:val="11"/>
                <w:szCs w:val="11"/>
                <w:color w:val="auto"/>
                <w:w w:val="89"/>
              </w:rPr>
              <w:t>US$(000)</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060" w:type="dxa"/>
            <w:vAlign w:val="bottom"/>
          </w:tcPr>
          <w:p>
            <w:pPr>
              <w:jc w:val="right"/>
              <w:ind w:right="286"/>
              <w:spacing w:after="0"/>
              <w:rPr>
                <w:sz w:val="20"/>
                <w:szCs w:val="20"/>
                <w:color w:val="auto"/>
              </w:rPr>
            </w:pPr>
            <w:r>
              <w:rPr>
                <w:rFonts w:ascii="Arial" w:cs="Arial" w:eastAsia="Arial" w:hAnsi="Arial"/>
                <w:sz w:val="11"/>
                <w:szCs w:val="11"/>
                <w:color w:val="auto"/>
              </w:rPr>
              <w:t>US$(000)</w:t>
            </w:r>
          </w:p>
        </w:tc>
        <w:tc>
          <w:tcPr>
            <w:tcW w:w="1080" w:type="dxa"/>
            <w:vAlign w:val="bottom"/>
          </w:tcPr>
          <w:p>
            <w:pPr>
              <w:jc w:val="center"/>
              <w:ind w:right="6"/>
              <w:spacing w:after="0"/>
              <w:rPr>
                <w:sz w:val="20"/>
                <w:szCs w:val="20"/>
                <w:color w:val="auto"/>
              </w:rPr>
            </w:pPr>
            <w:r>
              <w:rPr>
                <w:rFonts w:ascii="Arial" w:cs="Arial" w:eastAsia="Arial" w:hAnsi="Arial"/>
                <w:sz w:val="11"/>
                <w:szCs w:val="11"/>
                <w:color w:val="auto"/>
                <w:w w:val="89"/>
              </w:rPr>
              <w:t>US$(000)</w:t>
            </w:r>
          </w:p>
        </w:tc>
        <w:tc>
          <w:tcPr>
            <w:tcW w:w="560" w:type="dxa"/>
            <w:vAlign w:val="bottom"/>
          </w:tcPr>
          <w:p>
            <w:pPr>
              <w:jc w:val="right"/>
              <w:ind w:right="26"/>
              <w:spacing w:after="0"/>
              <w:rPr>
                <w:sz w:val="20"/>
                <w:szCs w:val="20"/>
                <w:color w:val="auto"/>
              </w:rPr>
            </w:pPr>
            <w:r>
              <w:rPr>
                <w:rFonts w:ascii="Arial" w:cs="Arial" w:eastAsia="Arial" w:hAnsi="Arial"/>
                <w:sz w:val="11"/>
                <w:szCs w:val="11"/>
                <w:color w:val="auto"/>
                <w:w w:val="97"/>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94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Central Reserve</w:t>
            </w:r>
          </w:p>
        </w:tc>
        <w:tc>
          <w:tcPr>
            <w:tcW w:w="1000" w:type="dxa"/>
            <w:vAlign w:val="bottom"/>
            <w:tcBorders>
              <w:right w:val="single" w:sz="8" w:color="CCFFCC"/>
            </w:tcBorders>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1060" w:type="dxa"/>
            <w:vAlign w:val="bottom"/>
            <w:tcBorders>
              <w:right w:val="single" w:sz="8" w:color="CCFFCC"/>
            </w:tcBorders>
            <w:shd w:val="clear" w:color="auto" w:fill="CCFFCC"/>
          </w:tcPr>
          <w:p>
            <w:pPr>
              <w:spacing w:after="0"/>
              <w:rPr>
                <w:sz w:val="9"/>
                <w:szCs w:val="9"/>
                <w:color w:val="auto"/>
              </w:rPr>
            </w:pPr>
          </w:p>
        </w:tc>
        <w:tc>
          <w:tcPr>
            <w:tcW w:w="108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1000" w:type="dxa"/>
            <w:vAlign w:val="bottom"/>
            <w:tcBorders>
              <w:right w:val="single" w:sz="8" w:color="CCFFCC"/>
            </w:tcBorders>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1060" w:type="dxa"/>
            <w:vAlign w:val="bottom"/>
            <w:tcBorders>
              <w:right w:val="single" w:sz="8" w:color="CCFFCC"/>
            </w:tcBorders>
            <w:shd w:val="clear" w:color="auto" w:fill="CCFFCC"/>
          </w:tcPr>
          <w:p>
            <w:pPr>
              <w:spacing w:after="0"/>
              <w:rPr>
                <w:sz w:val="9"/>
                <w:szCs w:val="9"/>
                <w:color w:val="auto"/>
              </w:rPr>
            </w:pPr>
          </w:p>
        </w:tc>
        <w:tc>
          <w:tcPr>
            <w:tcW w:w="1080" w:type="dxa"/>
            <w:vAlign w:val="bottom"/>
            <w:tcBorders>
              <w:right w:val="single" w:sz="8" w:color="CCFFCC"/>
            </w:tcBorders>
            <w:shd w:val="clear" w:color="auto" w:fill="CCFFCC"/>
          </w:tcPr>
          <w:p>
            <w:pPr>
              <w:spacing w:after="0"/>
              <w:rPr>
                <w:sz w:val="9"/>
                <w:szCs w:val="9"/>
                <w:color w:val="auto"/>
              </w:rPr>
            </w:pPr>
          </w:p>
        </w:tc>
        <w:tc>
          <w:tcPr>
            <w:tcW w:w="56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Borders>
              <w:right w:val="single" w:sz="8" w:color="CCFFCC"/>
            </w:tcBorders>
            <w:shd w:val="clear" w:color="auto" w:fill="CCFFCC"/>
          </w:tcPr>
          <w:p>
            <w:pPr>
              <w:ind w:left="140"/>
              <w:spacing w:after="0"/>
              <w:rPr>
                <w:sz w:val="20"/>
                <w:szCs w:val="20"/>
                <w:color w:val="auto"/>
              </w:rPr>
            </w:pPr>
            <w:r>
              <w:rPr>
                <w:rFonts w:ascii="Arial" w:cs="Arial" w:eastAsia="Arial" w:hAnsi="Arial"/>
                <w:sz w:val="11"/>
                <w:szCs w:val="11"/>
                <w:color w:val="auto"/>
              </w:rPr>
              <w:t>Bank of Perú</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6,307,977</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363,850</w:t>
            </w:r>
          </w:p>
        </w:tc>
        <w:tc>
          <w:tcPr>
            <w:tcW w:w="5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6,671,827</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2,107,635</w:t>
            </w:r>
          </w:p>
        </w:tc>
        <w:tc>
          <w:tcPr>
            <w:tcW w:w="10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1,545,705</w:t>
            </w:r>
          </w:p>
        </w:tc>
        <w:tc>
          <w:tcPr>
            <w:tcW w:w="5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3,653,340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66,423</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158,849</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2,535,756</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1,203,625</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3,964,653</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114,185</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125,912</w:t>
            </w:r>
          </w:p>
        </w:tc>
        <w:tc>
          <w:tcPr>
            <w:tcW w:w="1060" w:type="dxa"/>
            <w:vAlign w:val="bottom"/>
          </w:tcPr>
          <w:p>
            <w:pPr>
              <w:jc w:val="right"/>
              <w:ind w:right="6"/>
              <w:spacing w:after="0" w:line="122" w:lineRule="exact"/>
              <w:rPr>
                <w:sz w:val="20"/>
                <w:szCs w:val="20"/>
                <w:color w:val="auto"/>
              </w:rPr>
            </w:pPr>
            <w:r>
              <w:rPr>
                <w:rFonts w:ascii="Arial" w:cs="Arial" w:eastAsia="Arial" w:hAnsi="Arial"/>
                <w:sz w:val="11"/>
                <w:szCs w:val="11"/>
                <w:color w:val="auto"/>
              </w:rPr>
              <w:t>2,058,327</w:t>
            </w:r>
          </w:p>
        </w:tc>
        <w:tc>
          <w:tcPr>
            <w:tcW w:w="10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1,243,021</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3,541,445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Manufacturing</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10,190</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5,096</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2,936,271</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437,141</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3,388,698</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4</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2,161</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2,462,733</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266,048</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2,730,946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2,052,428</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2,052,428</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1,673,089</w:t>
            </w:r>
          </w:p>
        </w:tc>
        <w:tc>
          <w:tcPr>
            <w:tcW w:w="10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1,673,089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Commerce</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1,278</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758</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1,875,832</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78,706</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1,956,574</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1,282,188</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68,740</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1,350,929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color w:val="auto"/>
              </w:rPr>
              <w:t>Consumer loans</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1,668,402</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1,668,402</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1,402,422</w:t>
            </w:r>
          </w:p>
        </w:tc>
        <w:tc>
          <w:tcPr>
            <w:tcW w:w="10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1,402,422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7"/>
              </w:rPr>
              <w:t>Electricity, gas and</w:t>
            </w:r>
          </w:p>
        </w:tc>
        <w:tc>
          <w:tcPr>
            <w:tcW w:w="1000" w:type="dxa"/>
            <w:vAlign w:val="bottom"/>
            <w:tcBorders>
              <w:right w:val="single" w:sz="8" w:color="CCFFCC"/>
            </w:tcBorders>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1060" w:type="dxa"/>
            <w:vAlign w:val="bottom"/>
            <w:tcBorders>
              <w:right w:val="single" w:sz="8" w:color="CCFFCC"/>
            </w:tcBorders>
            <w:shd w:val="clear" w:color="auto" w:fill="CCFFCC"/>
          </w:tcPr>
          <w:p>
            <w:pPr>
              <w:spacing w:after="0"/>
              <w:rPr>
                <w:sz w:val="9"/>
                <w:szCs w:val="9"/>
                <w:color w:val="auto"/>
              </w:rPr>
            </w:pPr>
          </w:p>
        </w:tc>
        <w:tc>
          <w:tcPr>
            <w:tcW w:w="108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1000" w:type="dxa"/>
            <w:vAlign w:val="bottom"/>
            <w:tcBorders>
              <w:right w:val="single" w:sz="8" w:color="CCFFCC"/>
            </w:tcBorders>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1060" w:type="dxa"/>
            <w:vAlign w:val="bottom"/>
            <w:tcBorders>
              <w:right w:val="single" w:sz="8" w:color="CCFFCC"/>
            </w:tcBorders>
            <w:shd w:val="clear" w:color="auto" w:fill="CCFFCC"/>
          </w:tcPr>
          <w:p>
            <w:pPr>
              <w:spacing w:after="0"/>
              <w:rPr>
                <w:sz w:val="9"/>
                <w:szCs w:val="9"/>
                <w:color w:val="auto"/>
              </w:rPr>
            </w:pPr>
          </w:p>
        </w:tc>
        <w:tc>
          <w:tcPr>
            <w:tcW w:w="1080" w:type="dxa"/>
            <w:vAlign w:val="bottom"/>
            <w:tcBorders>
              <w:right w:val="single" w:sz="8" w:color="CCFFCC"/>
            </w:tcBorders>
            <w:shd w:val="clear" w:color="auto" w:fill="CCFFCC"/>
          </w:tcPr>
          <w:p>
            <w:pPr>
              <w:spacing w:after="0"/>
              <w:rPr>
                <w:sz w:val="9"/>
                <w:szCs w:val="9"/>
                <w:color w:val="auto"/>
              </w:rPr>
            </w:pPr>
          </w:p>
        </w:tc>
        <w:tc>
          <w:tcPr>
            <w:tcW w:w="56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Borders>
              <w:right w:val="single" w:sz="8" w:color="CCFFCC"/>
            </w:tcBorders>
            <w:shd w:val="clear" w:color="auto" w:fill="CCFFCC"/>
          </w:tcPr>
          <w:p>
            <w:pPr>
              <w:ind w:left="140"/>
              <w:spacing w:after="0"/>
              <w:rPr>
                <w:sz w:val="20"/>
                <w:szCs w:val="20"/>
                <w:color w:val="auto"/>
              </w:rPr>
            </w:pPr>
            <w:r>
              <w:rPr>
                <w:rFonts w:ascii="Arial" w:cs="Arial" w:eastAsia="Arial" w:hAnsi="Arial"/>
                <w:sz w:val="11"/>
                <w:szCs w:val="11"/>
                <w:color w:val="auto"/>
              </w:rPr>
              <w:t>water</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23,412</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3,913</w:t>
            </w:r>
          </w:p>
        </w:tc>
        <w:tc>
          <w:tcPr>
            <w:tcW w:w="10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931,537</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417,503</w:t>
            </w:r>
          </w:p>
        </w:tc>
        <w:tc>
          <w:tcPr>
            <w:tcW w:w="5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1,376,365</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47</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2,564</w:t>
            </w:r>
          </w:p>
        </w:tc>
        <w:tc>
          <w:tcPr>
            <w:tcW w:w="106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745,613</w:t>
            </w:r>
          </w:p>
        </w:tc>
        <w:tc>
          <w:tcPr>
            <w:tcW w:w="10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376,496</w:t>
            </w:r>
          </w:p>
        </w:tc>
        <w:tc>
          <w:tcPr>
            <w:tcW w:w="5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1,124,720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spacing w:after="0" w:line="112" w:lineRule="exact"/>
              <w:rPr>
                <w:sz w:val="20"/>
                <w:szCs w:val="20"/>
                <w:color w:val="auto"/>
              </w:rPr>
            </w:pPr>
            <w:r>
              <w:rPr>
                <w:rFonts w:ascii="Arial" w:cs="Arial" w:eastAsia="Arial" w:hAnsi="Arial"/>
                <w:sz w:val="11"/>
                <w:szCs w:val="11"/>
                <w:color w:val="auto"/>
                <w:w w:val="90"/>
              </w:rPr>
              <w:t>Leaseholds and real</w:t>
            </w: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color w:val="auto"/>
              </w:rPr>
              <w:t>estate activities</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909,174</w:t>
            </w:r>
          </w:p>
        </w:tc>
        <w:tc>
          <w:tcPr>
            <w:tcW w:w="1080" w:type="dxa"/>
            <w:vAlign w:val="bottom"/>
          </w:tcPr>
          <w:p>
            <w:pPr>
              <w:jc w:val="right"/>
              <w:spacing w:after="0"/>
              <w:rPr>
                <w:sz w:val="20"/>
                <w:szCs w:val="20"/>
                <w:color w:val="auto"/>
              </w:rPr>
            </w:pPr>
            <w:r>
              <w:rPr>
                <w:rFonts w:ascii="Arial" w:cs="Arial" w:eastAsia="Arial" w:hAnsi="Arial"/>
                <w:sz w:val="11"/>
                <w:szCs w:val="11"/>
                <w:color w:val="auto"/>
              </w:rPr>
              <w:t>69,627</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978,841</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468,229</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49,401</w:t>
            </w:r>
          </w:p>
        </w:tc>
        <w:tc>
          <w:tcPr>
            <w:tcW w:w="560" w:type="dxa"/>
            <w:vAlign w:val="bottom"/>
          </w:tcPr>
          <w:p>
            <w:pPr>
              <w:jc w:val="right"/>
              <w:spacing w:after="0"/>
              <w:rPr>
                <w:sz w:val="20"/>
                <w:szCs w:val="20"/>
                <w:color w:val="auto"/>
              </w:rPr>
            </w:pPr>
            <w:r>
              <w:rPr>
                <w:rFonts w:ascii="Arial" w:cs="Arial" w:eastAsia="Arial" w:hAnsi="Arial"/>
                <w:sz w:val="11"/>
                <w:szCs w:val="11"/>
                <w:color w:val="auto"/>
              </w:rPr>
              <w:t>517,630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Mining</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21,856</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8,266</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860,521</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83,292</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973,935</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3,781</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667,970</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109,351</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781,104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spacing w:after="0" w:line="112" w:lineRule="exact"/>
              <w:rPr>
                <w:sz w:val="20"/>
                <w:szCs w:val="20"/>
                <w:color w:val="auto"/>
              </w:rPr>
            </w:pPr>
            <w:r>
              <w:rPr>
                <w:rFonts w:ascii="Arial" w:cs="Arial" w:eastAsia="Arial" w:hAnsi="Arial"/>
                <w:sz w:val="11"/>
                <w:szCs w:val="11"/>
                <w:color w:val="auto"/>
              </w:rPr>
              <w:t>Government and</w:t>
            </w: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ind w:left="140"/>
              <w:spacing w:after="0" w:line="122" w:lineRule="exact"/>
              <w:rPr>
                <w:sz w:val="20"/>
                <w:szCs w:val="20"/>
                <w:color w:val="auto"/>
              </w:rPr>
            </w:pPr>
            <w:r>
              <w:rPr>
                <w:rFonts w:ascii="Arial" w:cs="Arial" w:eastAsia="Arial" w:hAnsi="Arial"/>
                <w:sz w:val="11"/>
                <w:szCs w:val="11"/>
                <w:color w:val="auto"/>
              </w:rPr>
              <w:t>public</w:t>
            </w: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color w:val="auto"/>
              </w:rPr>
              <w:t>administration</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73,515</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677</w:t>
            </w:r>
          </w:p>
        </w:tc>
        <w:tc>
          <w:tcPr>
            <w:tcW w:w="1060" w:type="dxa"/>
            <w:vAlign w:val="bottom"/>
          </w:tcPr>
          <w:p>
            <w:pPr>
              <w:jc w:val="right"/>
              <w:spacing w:after="0"/>
              <w:rPr>
                <w:sz w:val="20"/>
                <w:szCs w:val="20"/>
                <w:color w:val="auto"/>
              </w:rPr>
            </w:pPr>
            <w:r>
              <w:rPr>
                <w:rFonts w:ascii="Arial" w:cs="Arial" w:eastAsia="Arial" w:hAnsi="Arial"/>
                <w:sz w:val="11"/>
                <w:szCs w:val="11"/>
                <w:color w:val="auto"/>
              </w:rPr>
              <w:t>23,801</w:t>
            </w:r>
          </w:p>
        </w:tc>
        <w:tc>
          <w:tcPr>
            <w:tcW w:w="1080" w:type="dxa"/>
            <w:vAlign w:val="bottom"/>
          </w:tcPr>
          <w:p>
            <w:pPr>
              <w:jc w:val="right"/>
              <w:spacing w:after="0"/>
              <w:rPr>
                <w:sz w:val="20"/>
                <w:szCs w:val="20"/>
                <w:color w:val="auto"/>
              </w:rPr>
            </w:pPr>
            <w:r>
              <w:rPr>
                <w:rFonts w:ascii="Arial" w:cs="Arial" w:eastAsia="Arial" w:hAnsi="Arial"/>
                <w:sz w:val="11"/>
                <w:szCs w:val="11"/>
                <w:color w:val="auto"/>
              </w:rPr>
              <w:t>848,856</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946,849</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53,874</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642</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233,446</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1,034,479</w:t>
            </w:r>
          </w:p>
        </w:tc>
        <w:tc>
          <w:tcPr>
            <w:tcW w:w="560" w:type="dxa"/>
            <w:vAlign w:val="bottom"/>
          </w:tcPr>
          <w:p>
            <w:pPr>
              <w:jc w:val="right"/>
              <w:spacing w:after="0"/>
              <w:rPr>
                <w:sz w:val="20"/>
                <w:szCs w:val="20"/>
                <w:color w:val="auto"/>
              </w:rPr>
            </w:pPr>
            <w:r>
              <w:rPr>
                <w:rFonts w:ascii="Arial" w:cs="Arial" w:eastAsia="Arial" w:hAnsi="Arial"/>
                <w:sz w:val="11"/>
                <w:szCs w:val="11"/>
                <w:color w:val="auto"/>
              </w:rPr>
              <w:t>1,322,441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87"/>
              </w:rPr>
              <w:t>Micro-business loans</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909,422</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909,422</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703,651</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703,651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spacing w:after="0" w:line="112" w:lineRule="exact"/>
              <w:rPr>
                <w:sz w:val="20"/>
                <w:szCs w:val="20"/>
                <w:color w:val="auto"/>
              </w:rPr>
            </w:pPr>
            <w:r>
              <w:rPr>
                <w:rFonts w:ascii="Arial" w:cs="Arial" w:eastAsia="Arial" w:hAnsi="Arial"/>
                <w:sz w:val="11"/>
                <w:szCs w:val="11"/>
                <w:color w:val="auto"/>
              </w:rPr>
              <w:t>Communications,</w:t>
            </w: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ind w:left="140"/>
              <w:spacing w:after="0" w:line="122" w:lineRule="exact"/>
              <w:rPr>
                <w:sz w:val="20"/>
                <w:szCs w:val="20"/>
                <w:color w:val="auto"/>
              </w:rPr>
            </w:pPr>
            <w:r>
              <w:rPr>
                <w:rFonts w:ascii="Arial" w:cs="Arial" w:eastAsia="Arial" w:hAnsi="Arial"/>
                <w:sz w:val="11"/>
                <w:szCs w:val="11"/>
                <w:color w:val="auto"/>
              </w:rPr>
              <w:t>storage and</w:t>
            </w: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color w:val="auto"/>
              </w:rPr>
              <w:t>transportation</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239</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837</w:t>
            </w:r>
          </w:p>
        </w:tc>
        <w:tc>
          <w:tcPr>
            <w:tcW w:w="1060" w:type="dxa"/>
            <w:vAlign w:val="bottom"/>
          </w:tcPr>
          <w:p>
            <w:pPr>
              <w:jc w:val="right"/>
              <w:spacing w:after="0"/>
              <w:rPr>
                <w:sz w:val="20"/>
                <w:szCs w:val="20"/>
                <w:color w:val="auto"/>
              </w:rPr>
            </w:pPr>
            <w:r>
              <w:rPr>
                <w:rFonts w:ascii="Arial" w:cs="Arial" w:eastAsia="Arial" w:hAnsi="Arial"/>
                <w:sz w:val="11"/>
                <w:szCs w:val="11"/>
                <w:color w:val="auto"/>
              </w:rPr>
              <w:t>710,116</w:t>
            </w:r>
          </w:p>
        </w:tc>
        <w:tc>
          <w:tcPr>
            <w:tcW w:w="1080" w:type="dxa"/>
            <w:vAlign w:val="bottom"/>
          </w:tcPr>
          <w:p>
            <w:pPr>
              <w:jc w:val="right"/>
              <w:spacing w:after="0"/>
              <w:rPr>
                <w:sz w:val="20"/>
                <w:szCs w:val="20"/>
                <w:color w:val="auto"/>
              </w:rPr>
            </w:pPr>
            <w:r>
              <w:rPr>
                <w:rFonts w:ascii="Arial" w:cs="Arial" w:eastAsia="Arial" w:hAnsi="Arial"/>
                <w:sz w:val="11"/>
                <w:szCs w:val="11"/>
                <w:color w:val="auto"/>
              </w:rPr>
              <w:t>165,589</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876,781</w:t>
            </w: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554,944</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154,305</w:t>
            </w:r>
          </w:p>
        </w:tc>
        <w:tc>
          <w:tcPr>
            <w:tcW w:w="560" w:type="dxa"/>
            <w:vAlign w:val="bottom"/>
          </w:tcPr>
          <w:p>
            <w:pPr>
              <w:jc w:val="right"/>
              <w:spacing w:after="0"/>
              <w:rPr>
                <w:sz w:val="20"/>
                <w:szCs w:val="20"/>
                <w:color w:val="auto"/>
              </w:rPr>
            </w:pPr>
            <w:r>
              <w:rPr>
                <w:rFonts w:ascii="Arial" w:cs="Arial" w:eastAsia="Arial" w:hAnsi="Arial"/>
                <w:sz w:val="11"/>
                <w:szCs w:val="11"/>
                <w:color w:val="auto"/>
              </w:rPr>
              <w:t>709,251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0"/>
              </w:rPr>
              <w:t>Community services</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416,630</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416,635</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322,429</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322,429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color w:val="auto"/>
              </w:rPr>
              <w:t>Agriculture</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88</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284,419</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7,007</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291,514</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line="122" w:lineRule="exact"/>
              <w:rPr>
                <w:sz w:val="20"/>
                <w:szCs w:val="20"/>
                <w:color w:val="auto"/>
              </w:rPr>
            </w:pPr>
            <w:r>
              <w:rPr>
                <w:rFonts w:ascii="Arial" w:cs="Arial" w:eastAsia="Arial" w:hAnsi="Arial"/>
                <w:sz w:val="11"/>
                <w:szCs w:val="11"/>
                <w:color w:val="auto"/>
              </w:rPr>
              <w:t>269,882</w:t>
            </w:r>
          </w:p>
        </w:tc>
        <w:tc>
          <w:tcPr>
            <w:tcW w:w="1080" w:type="dxa"/>
            <w:vAlign w:val="bottom"/>
          </w:tcPr>
          <w:p>
            <w:pPr>
              <w:jc w:val="right"/>
              <w:ind w:right="6"/>
              <w:spacing w:after="0" w:line="122" w:lineRule="exact"/>
              <w:rPr>
                <w:sz w:val="20"/>
                <w:szCs w:val="20"/>
                <w:color w:val="auto"/>
              </w:rPr>
            </w:pPr>
            <w:r>
              <w:rPr>
                <w:rFonts w:ascii="Arial" w:cs="Arial" w:eastAsia="Arial" w:hAnsi="Arial"/>
                <w:sz w:val="11"/>
                <w:szCs w:val="11"/>
                <w:color w:val="auto"/>
              </w:rPr>
              <w:t>8,002</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277,884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Education, health</w:t>
            </w:r>
          </w:p>
        </w:tc>
        <w:tc>
          <w:tcPr>
            <w:tcW w:w="1000" w:type="dxa"/>
            <w:vAlign w:val="bottom"/>
            <w:tcBorders>
              <w:right w:val="single" w:sz="8" w:color="CCFFCC"/>
            </w:tcBorders>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1060" w:type="dxa"/>
            <w:vAlign w:val="bottom"/>
            <w:tcBorders>
              <w:right w:val="single" w:sz="8" w:color="CCFFCC"/>
            </w:tcBorders>
            <w:shd w:val="clear" w:color="auto" w:fill="CCFFCC"/>
          </w:tcPr>
          <w:p>
            <w:pPr>
              <w:spacing w:after="0"/>
              <w:rPr>
                <w:sz w:val="9"/>
                <w:szCs w:val="9"/>
                <w:color w:val="auto"/>
              </w:rPr>
            </w:pPr>
          </w:p>
        </w:tc>
        <w:tc>
          <w:tcPr>
            <w:tcW w:w="1080" w:type="dxa"/>
            <w:vAlign w:val="bottom"/>
            <w:tcBorders>
              <w:right w:val="single" w:sz="8" w:color="CCFFCC"/>
            </w:tcBorders>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spacing w:after="0"/>
              <w:rPr>
                <w:sz w:val="9"/>
                <w:szCs w:val="9"/>
                <w:color w:val="auto"/>
              </w:rPr>
            </w:pPr>
          </w:p>
        </w:tc>
        <w:tc>
          <w:tcPr>
            <w:tcW w:w="1000" w:type="dxa"/>
            <w:vAlign w:val="bottom"/>
            <w:tcBorders>
              <w:right w:val="single" w:sz="8" w:color="CCFFCC"/>
            </w:tcBorders>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1060" w:type="dxa"/>
            <w:vAlign w:val="bottom"/>
            <w:tcBorders>
              <w:right w:val="single" w:sz="8" w:color="CCFFCC"/>
            </w:tcBorders>
            <w:shd w:val="clear" w:color="auto" w:fill="CCFFCC"/>
          </w:tcPr>
          <w:p>
            <w:pPr>
              <w:spacing w:after="0"/>
              <w:rPr>
                <w:sz w:val="9"/>
                <w:szCs w:val="9"/>
                <w:color w:val="auto"/>
              </w:rPr>
            </w:pPr>
          </w:p>
        </w:tc>
        <w:tc>
          <w:tcPr>
            <w:tcW w:w="1080" w:type="dxa"/>
            <w:vAlign w:val="bottom"/>
            <w:tcBorders>
              <w:right w:val="single" w:sz="8" w:color="CCFFCC"/>
            </w:tcBorders>
            <w:shd w:val="clear" w:color="auto" w:fill="CCFFCC"/>
          </w:tcPr>
          <w:p>
            <w:pPr>
              <w:spacing w:after="0"/>
              <w:rPr>
                <w:sz w:val="9"/>
                <w:szCs w:val="9"/>
                <w:color w:val="auto"/>
              </w:rPr>
            </w:pPr>
          </w:p>
        </w:tc>
        <w:tc>
          <w:tcPr>
            <w:tcW w:w="56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ind w:left="140"/>
              <w:spacing w:after="0" w:line="122" w:lineRule="exact"/>
              <w:rPr>
                <w:sz w:val="20"/>
                <w:szCs w:val="20"/>
                <w:color w:val="auto"/>
              </w:rPr>
            </w:pPr>
            <w:r>
              <w:rPr>
                <w:rFonts w:ascii="Arial" w:cs="Arial" w:eastAsia="Arial" w:hAnsi="Arial"/>
                <w:sz w:val="11"/>
                <w:szCs w:val="11"/>
                <w:color w:val="auto"/>
              </w:rPr>
              <w:t>and other</w:t>
            </w:r>
          </w:p>
        </w:tc>
        <w:tc>
          <w:tcPr>
            <w:tcW w:w="1000" w:type="dxa"/>
            <w:vAlign w:val="bottom"/>
            <w:tcBorders>
              <w:right w:val="single" w:sz="8" w:color="CCFFCC"/>
            </w:tcBorders>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spacing w:after="0"/>
              <w:rPr>
                <w:sz w:val="10"/>
                <w:szCs w:val="10"/>
                <w:color w:val="auto"/>
              </w:rPr>
            </w:pPr>
          </w:p>
        </w:tc>
        <w:tc>
          <w:tcPr>
            <w:tcW w:w="1060" w:type="dxa"/>
            <w:vAlign w:val="bottom"/>
            <w:tcBorders>
              <w:right w:val="single" w:sz="8" w:color="CCFFCC"/>
            </w:tcBorders>
            <w:shd w:val="clear" w:color="auto" w:fill="CCFFCC"/>
          </w:tcPr>
          <w:p>
            <w:pPr>
              <w:spacing w:after="0"/>
              <w:rPr>
                <w:sz w:val="10"/>
                <w:szCs w:val="10"/>
                <w:color w:val="auto"/>
              </w:rPr>
            </w:pPr>
          </w:p>
        </w:tc>
        <w:tc>
          <w:tcPr>
            <w:tcW w:w="1080" w:type="dxa"/>
            <w:vAlign w:val="bottom"/>
            <w:tcBorders>
              <w:right w:val="single" w:sz="8" w:color="CCFFCC"/>
            </w:tcBorders>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spacing w:after="0"/>
              <w:rPr>
                <w:sz w:val="10"/>
                <w:szCs w:val="10"/>
                <w:color w:val="auto"/>
              </w:rPr>
            </w:pPr>
          </w:p>
        </w:tc>
        <w:tc>
          <w:tcPr>
            <w:tcW w:w="1000" w:type="dxa"/>
            <w:vAlign w:val="bottom"/>
            <w:tcBorders>
              <w:right w:val="single" w:sz="8" w:color="CCFFCC"/>
            </w:tcBorders>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spacing w:after="0"/>
              <w:rPr>
                <w:sz w:val="10"/>
                <w:szCs w:val="10"/>
                <w:color w:val="auto"/>
              </w:rPr>
            </w:pPr>
          </w:p>
        </w:tc>
        <w:tc>
          <w:tcPr>
            <w:tcW w:w="1060" w:type="dxa"/>
            <w:vAlign w:val="bottom"/>
            <w:tcBorders>
              <w:right w:val="single" w:sz="8" w:color="CCFFCC"/>
            </w:tcBorders>
            <w:shd w:val="clear" w:color="auto" w:fill="CCFFCC"/>
          </w:tcPr>
          <w:p>
            <w:pPr>
              <w:spacing w:after="0"/>
              <w:rPr>
                <w:sz w:val="10"/>
                <w:szCs w:val="10"/>
                <w:color w:val="auto"/>
              </w:rPr>
            </w:pPr>
          </w:p>
        </w:tc>
        <w:tc>
          <w:tcPr>
            <w:tcW w:w="1080" w:type="dxa"/>
            <w:vAlign w:val="bottom"/>
            <w:tcBorders>
              <w:right w:val="single" w:sz="8" w:color="CCFFCC"/>
            </w:tcBorders>
            <w:shd w:val="clear" w:color="auto" w:fill="CCFFCC"/>
          </w:tcPr>
          <w:p>
            <w:pPr>
              <w:spacing w:after="0"/>
              <w:rPr>
                <w:sz w:val="10"/>
                <w:szCs w:val="10"/>
                <w:color w:val="auto"/>
              </w:rPr>
            </w:pPr>
          </w:p>
        </w:tc>
        <w:tc>
          <w:tcPr>
            <w:tcW w:w="56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40" w:type="dxa"/>
            <w:vAlign w:val="bottom"/>
            <w:tcBorders>
              <w:right w:val="single" w:sz="8" w:color="CCFFCC"/>
            </w:tcBorders>
            <w:shd w:val="clear" w:color="auto" w:fill="CCFFCC"/>
          </w:tcPr>
          <w:p>
            <w:pPr>
              <w:ind w:left="140"/>
              <w:spacing w:after="0"/>
              <w:rPr>
                <w:sz w:val="20"/>
                <w:szCs w:val="20"/>
                <w:color w:val="auto"/>
              </w:rPr>
            </w:pPr>
            <w:r>
              <w:rPr>
                <w:rFonts w:ascii="Arial" w:cs="Arial" w:eastAsia="Arial" w:hAnsi="Arial"/>
                <w:sz w:val="11"/>
                <w:szCs w:val="11"/>
                <w:color w:val="auto"/>
              </w:rPr>
              <w:t>services</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573</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173,028</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36,878</w:t>
            </w:r>
          </w:p>
        </w:tc>
        <w:tc>
          <w:tcPr>
            <w:tcW w:w="5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210,479</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151,569</w:t>
            </w:r>
          </w:p>
        </w:tc>
        <w:tc>
          <w:tcPr>
            <w:tcW w:w="10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119,006</w:t>
            </w:r>
          </w:p>
        </w:tc>
        <w:tc>
          <w:tcPr>
            <w:tcW w:w="5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270,575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color w:val="auto"/>
              </w:rPr>
              <w:t>Insurance</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1,435</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186,881</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12,223</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200,539</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167,101</w:t>
            </w:r>
          </w:p>
        </w:tc>
        <w:tc>
          <w:tcPr>
            <w:tcW w:w="10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167,101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Construction</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606</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659</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134,297</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5,949</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141,511</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307</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186,397</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5,250</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191,954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color w:val="auto"/>
              </w:rPr>
              <w:t>Fishing</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74</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spacing w:after="0" w:line="122" w:lineRule="exact"/>
              <w:rPr>
                <w:sz w:val="20"/>
                <w:szCs w:val="20"/>
                <w:color w:val="auto"/>
              </w:rPr>
            </w:pPr>
            <w:r>
              <w:rPr>
                <w:rFonts w:ascii="Arial" w:cs="Arial" w:eastAsia="Arial" w:hAnsi="Arial"/>
                <w:sz w:val="11"/>
                <w:szCs w:val="11"/>
                <w:color w:val="auto"/>
              </w:rPr>
              <w:t>131,830</w:t>
            </w:r>
          </w:p>
        </w:tc>
        <w:tc>
          <w:tcPr>
            <w:tcW w:w="1080" w:type="dxa"/>
            <w:vAlign w:val="bottom"/>
          </w:tcPr>
          <w:p>
            <w:pPr>
              <w:jc w:val="right"/>
              <w:spacing w:after="0" w:line="122" w:lineRule="exact"/>
              <w:rPr>
                <w:sz w:val="20"/>
                <w:szCs w:val="20"/>
                <w:color w:val="auto"/>
              </w:rPr>
            </w:pPr>
            <w:r>
              <w:rPr>
                <w:rFonts w:ascii="Arial" w:cs="Arial" w:eastAsia="Arial" w:hAnsi="Arial"/>
                <w:sz w:val="11"/>
                <w:szCs w:val="11"/>
                <w:color w:val="auto"/>
              </w:rPr>
              <w:t>160</w:t>
            </w: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132,064</w:t>
            </w:r>
          </w:p>
        </w:tc>
        <w:tc>
          <w:tcPr>
            <w:tcW w:w="10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119,123</w:t>
            </w:r>
          </w:p>
        </w:tc>
        <w:tc>
          <w:tcPr>
            <w:tcW w:w="1080" w:type="dxa"/>
            <w:vAlign w:val="bottom"/>
          </w:tcPr>
          <w:p>
            <w:pPr>
              <w:jc w:val="right"/>
              <w:ind w:right="6"/>
              <w:spacing w:after="0" w:line="122" w:lineRule="exact"/>
              <w:rPr>
                <w:sz w:val="20"/>
                <w:szCs w:val="20"/>
                <w:color w:val="auto"/>
              </w:rPr>
            </w:pPr>
            <w:r>
              <w:rPr>
                <w:rFonts w:ascii="Arial" w:cs="Arial" w:eastAsia="Arial" w:hAnsi="Arial"/>
                <w:sz w:val="11"/>
                <w:szCs w:val="11"/>
                <w:color w:val="auto"/>
              </w:rPr>
              <w:t>291</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119,414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Other</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779</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0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184,615</w:t>
            </w:r>
          </w:p>
        </w:tc>
        <w:tc>
          <w:tcPr>
            <w:tcW w:w="108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37,842</w:t>
            </w:r>
          </w:p>
        </w:tc>
        <w:tc>
          <w:tcPr>
            <w:tcW w:w="5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223,236</w:t>
            </w:r>
          </w:p>
        </w:tc>
        <w:tc>
          <w:tcPr>
            <w:tcW w:w="10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303</w:t>
            </w:r>
          </w:p>
        </w:tc>
        <w:tc>
          <w:tcPr>
            <w:tcW w:w="10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154,455</w:t>
            </w:r>
          </w:p>
        </w:tc>
        <w:tc>
          <w:tcPr>
            <w:tcW w:w="10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99,511</w:t>
            </w:r>
          </w:p>
        </w:tc>
        <w:tc>
          <w:tcPr>
            <w:tcW w:w="5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254,269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940" w:type="dxa"/>
            <w:vAlign w:val="bottom"/>
            <w:tcBorders>
              <w:top w:val="single" w:sz="8" w:color="CCFFCC"/>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94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1"/>
                <w:szCs w:val="11"/>
                <w:b w:val="1"/>
                <w:bCs w:val="1"/>
                <w:color w:val="auto"/>
              </w:rPr>
              <w:t>Total</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200,513</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179,055</w:t>
            </w:r>
          </w:p>
        </w:tc>
        <w:tc>
          <w:tcPr>
            <w:tcW w:w="10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23,232,937</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3,768,248</w:t>
            </w:r>
          </w:p>
        </w:tc>
        <w:tc>
          <w:tcPr>
            <w:tcW w:w="5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w w:val="90"/>
              </w:rPr>
              <w:t>27,380,753</w:t>
            </w:r>
          </w:p>
        </w:tc>
        <w:tc>
          <w:tcPr>
            <w:tcW w:w="10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168,115</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135,670</w:t>
            </w:r>
          </w:p>
        </w:tc>
        <w:tc>
          <w:tcPr>
            <w:tcW w:w="106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15,731,203</w:t>
            </w:r>
          </w:p>
        </w:tc>
        <w:tc>
          <w:tcPr>
            <w:tcW w:w="10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5,079,606</w:t>
            </w:r>
          </w:p>
        </w:tc>
        <w:tc>
          <w:tcPr>
            <w:tcW w:w="5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w w:val="90"/>
              </w:rPr>
              <w:t>21,114,594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83" w:right="639" w:bottom="1440" w:gutter="0" w:footer="0" w:header="0"/>
          <w:type w:val="continuous"/>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December 31, 2010 and 2009, the financial instruments with exposure to credit risk were distributed by the following geographical areas: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9"/>
              </w:rPr>
              <w:t>2010</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32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92"/>
              </w:rPr>
              <w:t>Designated at fair value through profit or</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000" w:type="dxa"/>
            <w:vAlign w:val="bottom"/>
          </w:tcPr>
          <w:p>
            <w:pPr>
              <w:spacing w:after="0"/>
              <w:rPr>
                <w:sz w:val="20"/>
                <w:szCs w:val="20"/>
                <w:color w:val="auto"/>
              </w:rPr>
            </w:pPr>
          </w:p>
        </w:tc>
        <w:tc>
          <w:tcPr>
            <w:tcW w:w="182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w w:val="99"/>
              </w:rPr>
              <w:t>loss</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1820" w:type="dxa"/>
            <w:vAlign w:val="bottom"/>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Held for trading</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Loans and</w:t>
            </w:r>
          </w:p>
        </w:tc>
        <w:tc>
          <w:tcPr>
            <w:tcW w:w="15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Investments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000" w:type="dxa"/>
            <w:vAlign w:val="bottom"/>
          </w:tcPr>
          <w:p>
            <w:pPr>
              <w:spacing w:after="0"/>
              <w:rPr>
                <w:sz w:val="19"/>
                <w:szCs w:val="19"/>
                <w:color w:val="auto"/>
              </w:rPr>
            </w:pP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and hedging</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inception</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receivables</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available-for-sale</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30"/>
        </w:trPr>
        <w:tc>
          <w:tcPr>
            <w:tcW w:w="3000" w:type="dxa"/>
            <w:vAlign w:val="bottom"/>
          </w:tcPr>
          <w:p>
            <w:pPr>
              <w:spacing w:after="0"/>
              <w:rPr>
                <w:sz w:val="20"/>
                <w:szCs w:val="20"/>
                <w:color w:val="auto"/>
              </w:rPr>
            </w:pP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3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146,208</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23,139</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20,928,158</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1,799,421</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22,896,926</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440" w:type="dxa"/>
            <w:vAlign w:val="bottom"/>
          </w:tcPr>
          <w:p>
            <w:pPr>
              <w:jc w:val="right"/>
              <w:spacing w:after="0"/>
              <w:rPr>
                <w:sz w:val="20"/>
                <w:szCs w:val="20"/>
                <w:color w:val="auto"/>
              </w:rPr>
            </w:pPr>
            <w:r>
              <w:rPr>
                <w:rFonts w:ascii="Arial" w:cs="Arial" w:eastAsia="Arial" w:hAnsi="Arial"/>
                <w:sz w:val="18"/>
                <w:szCs w:val="18"/>
                <w:color w:val="auto"/>
              </w:rPr>
              <w:t>44,413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155,002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968,809</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1,005,354</w:t>
            </w:r>
          </w:p>
        </w:tc>
        <w:tc>
          <w:tcPr>
            <w:tcW w:w="960" w:type="dxa"/>
            <w:vAlign w:val="bottom"/>
          </w:tcPr>
          <w:p>
            <w:pPr>
              <w:jc w:val="right"/>
              <w:spacing w:after="0"/>
              <w:rPr>
                <w:sz w:val="20"/>
                <w:szCs w:val="20"/>
                <w:color w:val="auto"/>
              </w:rPr>
            </w:pPr>
            <w:r>
              <w:rPr>
                <w:rFonts w:ascii="Arial" w:cs="Arial" w:eastAsia="Arial" w:hAnsi="Arial"/>
                <w:sz w:val="18"/>
                <w:szCs w:val="18"/>
                <w:color w:val="auto"/>
              </w:rPr>
              <w:t>2,173,578</w:t>
            </w:r>
          </w:p>
        </w:tc>
        <w:tc>
          <w:tcPr>
            <w:tcW w:w="100" w:type="dxa"/>
            <w:vAlign w:val="bottom"/>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861,967</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188,274</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1,050,504</w:t>
            </w:r>
          </w:p>
        </w:tc>
        <w:tc>
          <w:tcPr>
            <w:tcW w:w="10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Chile</w:t>
            </w:r>
          </w:p>
        </w:tc>
        <w:tc>
          <w:tcPr>
            <w:tcW w:w="1440" w:type="dxa"/>
            <w:vAlign w:val="bottom"/>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34,772</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324,140</w:t>
            </w:r>
          </w:p>
        </w:tc>
        <w:tc>
          <w:tcPr>
            <w:tcW w:w="960" w:type="dxa"/>
            <w:vAlign w:val="bottom"/>
          </w:tcPr>
          <w:p>
            <w:pPr>
              <w:jc w:val="right"/>
              <w:spacing w:after="0"/>
              <w:rPr>
                <w:sz w:val="20"/>
                <w:szCs w:val="20"/>
                <w:color w:val="auto"/>
              </w:rPr>
            </w:pPr>
            <w:r>
              <w:rPr>
                <w:rFonts w:ascii="Arial" w:cs="Arial" w:eastAsia="Arial" w:hAnsi="Arial"/>
                <w:sz w:val="18"/>
                <w:szCs w:val="18"/>
                <w:color w:val="auto"/>
              </w:rPr>
              <w:t>359,574</w:t>
            </w:r>
          </w:p>
        </w:tc>
        <w:tc>
          <w:tcPr>
            <w:tcW w:w="100" w:type="dxa"/>
            <w:vAlign w:val="bottom"/>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Venezuela</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133,251</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45,633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178,944</w:t>
            </w:r>
          </w:p>
        </w:tc>
        <w:tc>
          <w:tcPr>
            <w:tcW w:w="10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Colombia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6,664</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120,944</w:t>
            </w:r>
          </w:p>
        </w:tc>
        <w:tc>
          <w:tcPr>
            <w:tcW w:w="960" w:type="dxa"/>
            <w:vAlign w:val="bottom"/>
          </w:tcPr>
          <w:p>
            <w:pPr>
              <w:jc w:val="right"/>
              <w:spacing w:after="0"/>
              <w:rPr>
                <w:sz w:val="20"/>
                <w:szCs w:val="20"/>
                <w:color w:val="auto"/>
              </w:rPr>
            </w:pPr>
            <w:r>
              <w:rPr>
                <w:rFonts w:ascii="Arial" w:cs="Arial" w:eastAsia="Arial" w:hAnsi="Arial"/>
                <w:sz w:val="18"/>
                <w:szCs w:val="18"/>
                <w:color w:val="auto"/>
              </w:rPr>
              <w:t>127,608</w:t>
            </w:r>
          </w:p>
        </w:tc>
        <w:tc>
          <w:tcPr>
            <w:tcW w:w="100" w:type="dxa"/>
            <w:vAlign w:val="bottom"/>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8,178</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91,190</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85,405</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184,773</w:t>
            </w:r>
          </w:p>
        </w:tc>
        <w:tc>
          <w:tcPr>
            <w:tcW w:w="100" w:type="dxa"/>
            <w:vAlign w:val="bottom"/>
            <w:shd w:val="clear" w:color="auto" w:fill="CCFFCC"/>
          </w:tcPr>
          <w:p>
            <w:pPr>
              <w:spacing w:after="0"/>
              <w:rPr>
                <w:sz w:val="18"/>
                <w:szCs w:val="18"/>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208,126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199,077</w:t>
            </w:r>
          </w:p>
        </w:tc>
        <w:tc>
          <w:tcPr>
            <w:tcW w:w="960" w:type="dxa"/>
            <w:vAlign w:val="bottom"/>
          </w:tcPr>
          <w:p>
            <w:pPr>
              <w:jc w:val="right"/>
              <w:spacing w:after="0"/>
              <w:rPr>
                <w:sz w:val="20"/>
                <w:szCs w:val="20"/>
                <w:color w:val="auto"/>
              </w:rPr>
            </w:pPr>
            <w:r>
              <w:rPr>
                <w:rFonts w:ascii="Arial" w:cs="Arial" w:eastAsia="Arial" w:hAnsi="Arial"/>
                <w:sz w:val="18"/>
                <w:szCs w:val="18"/>
                <w:color w:val="auto"/>
              </w:rPr>
              <w:t>408,846</w:t>
            </w:r>
          </w:p>
        </w:tc>
        <w:tc>
          <w:tcPr>
            <w:tcW w:w="100" w:type="dxa"/>
            <w:vAlign w:val="bottom"/>
          </w:tcPr>
          <w:p>
            <w:pPr>
              <w:spacing w:after="0"/>
              <w:rPr>
                <w:sz w:val="19"/>
                <w:szCs w:val="19"/>
                <w:color w:val="auto"/>
              </w:rPr>
            </w:pPr>
          </w:p>
        </w:tc>
      </w:tr>
      <w:tr>
        <w:trPr>
          <w:trHeight w:val="216"/>
        </w:trPr>
        <w:tc>
          <w:tcPr>
            <w:tcW w:w="300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200,513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179,055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23,232,937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3,768,248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27,380,753</w:t>
            </w:r>
          </w:p>
        </w:tc>
      </w:tr>
      <w:tr>
        <w:trPr>
          <w:trHeight w:val="21"/>
        </w:trPr>
        <w:tc>
          <w:tcPr>
            <w:tcW w:w="30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0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000" w:type="dxa"/>
            <w:vAlign w:val="bottom"/>
          </w:tcPr>
          <w:p>
            <w:pPr>
              <w:spacing w:after="0"/>
              <w:rPr>
                <w:sz w:val="17"/>
                <w:szCs w:val="17"/>
                <w:color w:val="auto"/>
              </w:rPr>
            </w:pPr>
          </w:p>
        </w:tc>
        <w:tc>
          <w:tcPr>
            <w:tcW w:w="32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92"/>
              </w:rPr>
              <w:t>Designated at fair value through profit or</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000" w:type="dxa"/>
            <w:vAlign w:val="bottom"/>
          </w:tcPr>
          <w:p>
            <w:pPr>
              <w:spacing w:after="0"/>
              <w:rPr>
                <w:sz w:val="20"/>
                <w:szCs w:val="20"/>
                <w:color w:val="auto"/>
              </w:rPr>
            </w:pPr>
          </w:p>
        </w:tc>
        <w:tc>
          <w:tcPr>
            <w:tcW w:w="1820" w:type="dxa"/>
            <w:vAlign w:val="bottom"/>
            <w:tcBorders>
              <w:bottom w:val="single" w:sz="8" w:color="auto"/>
            </w:tcBorders>
            <w:gridSpan w:val="3"/>
          </w:tcPr>
          <w:p>
            <w:pPr>
              <w:ind w:left="1440"/>
              <w:spacing w:after="0"/>
              <w:rPr>
                <w:sz w:val="20"/>
                <w:szCs w:val="20"/>
                <w:color w:val="auto"/>
              </w:rPr>
            </w:pPr>
            <w:r>
              <w:rPr>
                <w:rFonts w:ascii="Arial" w:cs="Arial" w:eastAsia="Arial" w:hAnsi="Arial"/>
                <w:sz w:val="18"/>
                <w:szCs w:val="18"/>
                <w:b w:val="1"/>
                <w:bCs w:val="1"/>
                <w:color w:val="auto"/>
                <w:w w:val="99"/>
              </w:rPr>
              <w:t>loss</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1820" w:type="dxa"/>
            <w:vAlign w:val="bottom"/>
            <w:gridSpan w:val="3"/>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Held for trading</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Loans and</w:t>
            </w:r>
          </w:p>
        </w:tc>
        <w:tc>
          <w:tcPr>
            <w:tcW w:w="15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Investments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3000" w:type="dxa"/>
            <w:vAlign w:val="bottom"/>
          </w:tcPr>
          <w:p>
            <w:pPr>
              <w:spacing w:after="0"/>
              <w:rPr>
                <w:sz w:val="19"/>
                <w:szCs w:val="19"/>
                <w:color w:val="auto"/>
              </w:rPr>
            </w:pP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and hedging</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inception</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receivables</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available-for-sale</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30"/>
        </w:trPr>
        <w:tc>
          <w:tcPr>
            <w:tcW w:w="3000" w:type="dxa"/>
            <w:vAlign w:val="bottom"/>
          </w:tcPr>
          <w:p>
            <w:pPr>
              <w:spacing w:after="0"/>
              <w:rPr>
                <w:sz w:val="20"/>
                <w:szCs w:val="20"/>
                <w:color w:val="auto"/>
              </w:rPr>
            </w:pPr>
          </w:p>
        </w:tc>
        <w:tc>
          <w:tcPr>
            <w:tcW w:w="182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3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15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133,292</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11,231</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13,749,305</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3,156,355</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17,050,183</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440" w:type="dxa"/>
            <w:vAlign w:val="bottom"/>
          </w:tcPr>
          <w:p>
            <w:pPr>
              <w:jc w:val="right"/>
              <w:spacing w:after="0"/>
              <w:rPr>
                <w:sz w:val="20"/>
                <w:szCs w:val="20"/>
                <w:color w:val="auto"/>
              </w:rPr>
            </w:pPr>
            <w:r>
              <w:rPr>
                <w:rFonts w:ascii="Arial" w:cs="Arial" w:eastAsia="Arial" w:hAnsi="Arial"/>
                <w:sz w:val="18"/>
                <w:szCs w:val="18"/>
                <w:color w:val="auto"/>
              </w:rPr>
              <w:t>23,596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123,570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806,511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943,922</w:t>
            </w:r>
          </w:p>
        </w:tc>
        <w:tc>
          <w:tcPr>
            <w:tcW w:w="960" w:type="dxa"/>
            <w:vAlign w:val="bottom"/>
          </w:tcPr>
          <w:p>
            <w:pPr>
              <w:jc w:val="right"/>
              <w:spacing w:after="0"/>
              <w:rPr>
                <w:sz w:val="20"/>
                <w:szCs w:val="20"/>
                <w:color w:val="auto"/>
              </w:rPr>
            </w:pPr>
            <w:r>
              <w:rPr>
                <w:rFonts w:ascii="Arial" w:cs="Arial" w:eastAsia="Arial" w:hAnsi="Arial"/>
                <w:sz w:val="18"/>
                <w:szCs w:val="18"/>
                <w:color w:val="auto"/>
              </w:rPr>
              <w:t>1,897,599</w:t>
            </w:r>
          </w:p>
        </w:tc>
        <w:tc>
          <w:tcPr>
            <w:tcW w:w="100" w:type="dxa"/>
            <w:vAlign w:val="bottom"/>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727,883</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216,016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943,920</w:t>
            </w:r>
          </w:p>
        </w:tc>
        <w:tc>
          <w:tcPr>
            <w:tcW w:w="10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Europe</w:t>
            </w:r>
          </w:p>
        </w:tc>
        <w:tc>
          <w:tcPr>
            <w:tcW w:w="1440" w:type="dxa"/>
            <w:vAlign w:val="bottom"/>
          </w:tcPr>
          <w:p>
            <w:pPr>
              <w:jc w:val="right"/>
              <w:spacing w:after="0"/>
              <w:rPr>
                <w:sz w:val="20"/>
                <w:szCs w:val="20"/>
                <w:color w:val="auto"/>
              </w:rPr>
            </w:pPr>
            <w:r>
              <w:rPr>
                <w:rFonts w:ascii="Arial" w:cs="Arial" w:eastAsia="Arial" w:hAnsi="Arial"/>
                <w:sz w:val="18"/>
                <w:szCs w:val="18"/>
                <w:color w:val="auto"/>
              </w:rPr>
              <w:t>4,276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154,131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122,527</w:t>
            </w:r>
          </w:p>
        </w:tc>
        <w:tc>
          <w:tcPr>
            <w:tcW w:w="960" w:type="dxa"/>
            <w:vAlign w:val="bottom"/>
          </w:tcPr>
          <w:p>
            <w:pPr>
              <w:jc w:val="right"/>
              <w:spacing w:after="0"/>
              <w:rPr>
                <w:sz w:val="20"/>
                <w:szCs w:val="20"/>
                <w:color w:val="auto"/>
              </w:rPr>
            </w:pPr>
            <w:r>
              <w:rPr>
                <w:rFonts w:ascii="Arial" w:cs="Arial" w:eastAsia="Arial" w:hAnsi="Arial"/>
                <w:sz w:val="18"/>
                <w:szCs w:val="18"/>
                <w:color w:val="auto"/>
              </w:rPr>
              <w:t>280,934</w:t>
            </w:r>
          </w:p>
        </w:tc>
        <w:tc>
          <w:tcPr>
            <w:tcW w:w="100" w:type="dxa"/>
            <w:vAlign w:val="bottom"/>
          </w:tcPr>
          <w:p>
            <w:pPr>
              <w:spacing w:after="0"/>
              <w:rPr>
                <w:sz w:val="18"/>
                <w:szCs w:val="18"/>
                <w:color w:val="auto"/>
              </w:rPr>
            </w:pP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25,502</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191,036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216,538</w:t>
            </w:r>
          </w:p>
        </w:tc>
        <w:tc>
          <w:tcPr>
            <w:tcW w:w="10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Chile</w:t>
            </w:r>
          </w:p>
        </w:tc>
        <w:tc>
          <w:tcPr>
            <w:tcW w:w="144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45,457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165,856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211,417</w:t>
            </w: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Venezuela</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c>
          <w:tcPr>
            <w:tcW w:w="12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4,254</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56,143</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60,452</w:t>
            </w: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jc w:val="right"/>
              <w:spacing w:after="0"/>
              <w:rPr>
                <w:sz w:val="20"/>
                <w:szCs w:val="20"/>
                <w:color w:val="auto"/>
              </w:rPr>
            </w:pPr>
            <w:r>
              <w:rPr>
                <w:rFonts w:ascii="Arial" w:cs="Arial" w:eastAsia="Arial" w:hAnsi="Arial"/>
                <w:sz w:val="18"/>
                <w:szCs w:val="18"/>
                <w:color w:val="auto"/>
              </w:rPr>
              <w:t>6,826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218,160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227,751</w:t>
            </w:r>
          </w:p>
        </w:tc>
        <w:tc>
          <w:tcPr>
            <w:tcW w:w="960" w:type="dxa"/>
            <w:vAlign w:val="bottom"/>
          </w:tcPr>
          <w:p>
            <w:pPr>
              <w:jc w:val="right"/>
              <w:spacing w:after="0"/>
              <w:rPr>
                <w:sz w:val="20"/>
                <w:szCs w:val="20"/>
                <w:color w:val="auto"/>
              </w:rPr>
            </w:pPr>
            <w:r>
              <w:rPr>
                <w:rFonts w:ascii="Arial" w:cs="Arial" w:eastAsia="Arial" w:hAnsi="Arial"/>
                <w:sz w:val="18"/>
                <w:szCs w:val="18"/>
                <w:color w:val="auto"/>
              </w:rPr>
              <w:t>453,551</w:t>
            </w:r>
          </w:p>
        </w:tc>
        <w:tc>
          <w:tcPr>
            <w:tcW w:w="100" w:type="dxa"/>
            <w:vAlign w:val="bottom"/>
          </w:tcPr>
          <w:p>
            <w:pPr>
              <w:spacing w:after="0"/>
              <w:rPr>
                <w:sz w:val="19"/>
                <w:szCs w:val="19"/>
                <w:color w:val="auto"/>
              </w:rPr>
            </w:pPr>
          </w:p>
        </w:tc>
      </w:tr>
      <w:tr>
        <w:trPr>
          <w:trHeight w:val="216"/>
        </w:trPr>
        <w:tc>
          <w:tcPr>
            <w:tcW w:w="300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168,115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135,670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15,731,203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5,079,606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21,114,594</w:t>
            </w:r>
          </w:p>
        </w:tc>
      </w:tr>
      <w:tr>
        <w:trPr>
          <w:trHeight w:val="21"/>
        </w:trPr>
        <w:tc>
          <w:tcPr>
            <w:tcW w:w="30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29.2.  Market risk-</w:t>
      </w:r>
    </w:p>
    <w:p>
      <w:pPr>
        <w:spacing w:after="0" w:line="27" w:lineRule="exact"/>
        <w:rPr>
          <w:sz w:val="20"/>
          <w:szCs w:val="20"/>
          <w:color w:val="auto"/>
        </w:rPr>
      </w:pPr>
    </w:p>
    <w:p>
      <w:pPr>
        <w:ind w:left="980" w:right="20"/>
        <w:spacing w:after="0" w:line="295" w:lineRule="auto"/>
        <w:rPr>
          <w:sz w:val="20"/>
          <w:szCs w:val="20"/>
          <w:color w:val="auto"/>
        </w:rPr>
      </w:pPr>
      <w:r>
        <w:rPr>
          <w:rFonts w:ascii="Arial" w:cs="Arial" w:eastAsia="Arial" w:hAnsi="Arial"/>
          <w:sz w:val="16"/>
          <w:szCs w:val="16"/>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62" w:lineRule="exact"/>
        <w:rPr>
          <w:sz w:val="20"/>
          <w:szCs w:val="20"/>
          <w:color w:val="auto"/>
        </w:rPr>
      </w:pPr>
    </w:p>
    <w:p>
      <w:pPr>
        <w:ind w:left="980" w:right="6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181" w:lineRule="exact"/>
        <w:rPr>
          <w:sz w:val="20"/>
          <w:szCs w:val="20"/>
          <w:color w:val="auto"/>
        </w:rPr>
      </w:pPr>
    </w:p>
    <w:p>
      <w:pPr>
        <w:ind w:left="980" w:right="100"/>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the Group acts as principal with clients or with the market. Non-trading portfolios consist of relatively illiquid positions, mainly banking assets and liabilities (deposits and loans) and non-trading investments (available-for-sale).</w:t>
      </w:r>
    </w:p>
    <w:p>
      <w:pPr>
        <w:spacing w:after="0" w:line="18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and Liability Management (ALM).</w:t>
      </w:r>
    </w:p>
    <w:p>
      <w:pPr>
        <w:spacing w:after="0" w:line="170" w:lineRule="exact"/>
        <w:rPr>
          <w:sz w:val="20"/>
          <w:szCs w:val="20"/>
          <w:color w:val="auto"/>
        </w:rPr>
      </w:pPr>
    </w:p>
    <w:p>
      <w:pPr>
        <w:ind w:left="1620" w:hanging="640"/>
        <w:spacing w:after="0"/>
        <w:tabs>
          <w:tab w:leader="none" w:pos="162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3" w:lineRule="exact"/>
        <w:rPr>
          <w:rFonts w:ascii="Arial" w:cs="Arial" w:eastAsia="Arial" w:hAnsi="Arial"/>
          <w:sz w:val="18"/>
          <w:szCs w:val="18"/>
          <w:color w:val="auto"/>
        </w:rPr>
      </w:pPr>
    </w:p>
    <w:p>
      <w:pPr>
        <w:ind w:left="1620" w:right="120"/>
        <w:spacing w:after="0" w:line="254" w:lineRule="auto"/>
        <w:rPr>
          <w:rFonts w:ascii="Arial" w:cs="Arial" w:eastAsia="Arial" w:hAnsi="Arial"/>
          <w:sz w:val="18"/>
          <w:szCs w:val="18"/>
          <w:color w:val="auto"/>
        </w:rPr>
      </w:pPr>
      <w:r>
        <w:rPr>
          <w:rFonts w:ascii="Arial" w:cs="Arial" w:eastAsia="Arial" w:hAnsi="Arial"/>
          <w:sz w:val="18"/>
          <w:szCs w:val="18"/>
          <w:color w:val="auto"/>
        </w:rPr>
        <w:t>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w:t>
      </w:r>
    </w:p>
    <w:p>
      <w:pPr>
        <w:spacing w:after="0" w:line="189" w:lineRule="exact"/>
        <w:rPr>
          <w:rFonts w:ascii="Arial" w:cs="Arial" w:eastAsia="Arial" w:hAnsi="Arial"/>
          <w:sz w:val="18"/>
          <w:szCs w:val="18"/>
          <w:color w:val="auto"/>
        </w:rPr>
      </w:pPr>
    </w:p>
    <w:p>
      <w:pPr>
        <w:ind w:left="1620" w:right="60"/>
        <w:spacing w:after="0" w:line="264" w:lineRule="auto"/>
        <w:rPr>
          <w:rFonts w:ascii="Arial" w:cs="Arial" w:eastAsia="Arial" w:hAnsi="Arial"/>
          <w:sz w:val="18"/>
          <w:szCs w:val="18"/>
          <w:color w:val="auto"/>
        </w:rPr>
      </w:pPr>
      <w:r>
        <w:rPr>
          <w:rFonts w:ascii="Arial" w:cs="Arial" w:eastAsia="Arial" w:hAnsi="Arial"/>
          <w:sz w:val="18"/>
          <w:szCs w:val="18"/>
          <w:color w:val="auto"/>
        </w:rPr>
        <w:t>The Group applies VaR to its trading portfolios to estimate the market risk of positions held and the maximum losses that are expected, based upon a number of assumptions for various changes in market conditions. The Risk Management Committee set limits on the level of risk that may be accepted.</w:t>
      </w:r>
    </w:p>
    <w:p>
      <w:pPr>
        <w:spacing w:after="0" w:line="181" w:lineRule="exact"/>
        <w:rPr>
          <w:rFonts w:ascii="Arial" w:cs="Arial" w:eastAsia="Arial" w:hAnsi="Arial"/>
          <w:sz w:val="18"/>
          <w:szCs w:val="18"/>
          <w:color w:val="auto"/>
        </w:rPr>
      </w:pPr>
    </w:p>
    <w:p>
      <w:pPr>
        <w:ind w:left="1620" w:right="260"/>
        <w:spacing w:after="0" w:line="272" w:lineRule="auto"/>
        <w:rPr>
          <w:rFonts w:ascii="Arial" w:cs="Arial" w:eastAsia="Arial" w:hAnsi="Arial"/>
          <w:sz w:val="18"/>
          <w:szCs w:val="18"/>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 The time horizon used to calculate VaR is one day; however, the one-day VAR is amplified to a 10-day time frame and calculated multiplying the one-day VaR times the square root of 10. The assessment of past movements has been based on historical one-year data. The Group applies these historical changes in rates directly to its current positions (a method known as historical simulation).</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use of this approach does not prevent losses outside of these limits in the event of more significant market movements.</w:t>
      </w:r>
    </w:p>
    <w:p>
      <w:pPr>
        <w:spacing w:after="0" w:line="35" w:lineRule="exact"/>
        <w:rPr>
          <w:sz w:val="20"/>
          <w:szCs w:val="20"/>
          <w:color w:val="auto"/>
        </w:rPr>
      </w:pPr>
    </w:p>
    <w:p>
      <w:pPr>
        <w:ind w:left="1140" w:right="160"/>
        <w:spacing w:after="0" w:line="261" w:lineRule="auto"/>
        <w:rPr>
          <w:sz w:val="20"/>
          <w:szCs w:val="20"/>
          <w:color w:val="auto"/>
        </w:rPr>
      </w:pPr>
      <w:r>
        <w:rPr>
          <w:rFonts w:ascii="Arial" w:cs="Arial" w:eastAsia="Arial" w:hAnsi="Arial"/>
          <w:sz w:val="18"/>
          <w:szCs w:val="18"/>
          <w:color w:val="auto"/>
        </w:rPr>
        <w:t>This adjustment will be exact only if the changes in the Portfolio in the following days have a normal distribution identical and independent; otherwise, the VAR to 10 days will be an approximation.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Arial" w:cs="Arial" w:eastAsia="Arial" w:hAnsi="Arial"/>
                <w:sz w:val="18"/>
                <w:szCs w:val="18"/>
                <w:color w:val="auto"/>
                <w:w w:val="97"/>
              </w:rPr>
              <w:t>As of December 31, 2010 and 2009, the Group’s VaR by type of asset was as follows</w:t>
            </w:r>
            <w:r>
              <w:rPr>
                <w:rFonts w:ascii="Arial" w:cs="Arial" w:eastAsia="Arial" w:hAnsi="Arial"/>
                <w:sz w:val="18"/>
                <w:szCs w:val="18"/>
                <w:b w:val="1"/>
                <w:bCs w:val="1"/>
                <w:color w:val="auto"/>
                <w:w w:val="97"/>
              </w:rPr>
              <w:t>:</w:t>
            </w:r>
          </w:p>
        </w:tc>
        <w:tc>
          <w:tcPr>
            <w:tcW w:w="14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126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Fixed income</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2,494</w:t>
            </w:r>
          </w:p>
        </w:tc>
        <w:tc>
          <w:tcPr>
            <w:tcW w:w="102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1,109</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Forwards</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2,938</w:t>
            </w:r>
          </w:p>
        </w:tc>
        <w:tc>
          <w:tcPr>
            <w:tcW w:w="1020" w:type="dxa"/>
            <w:vAlign w:val="bottom"/>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4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4,397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432"/>
        </w:trPr>
        <w:tc>
          <w:tcPr>
            <w:tcW w:w="6680" w:type="dxa"/>
            <w:vAlign w:val="bottom"/>
            <w:gridSpan w:val="2"/>
          </w:tcPr>
          <w:p>
            <w:pPr>
              <w:spacing w:after="0"/>
              <w:rPr>
                <w:sz w:val="20"/>
                <w:szCs w:val="20"/>
                <w:color w:val="auto"/>
              </w:rPr>
            </w:pPr>
            <w:r>
              <w:rPr>
                <w:rFonts w:ascii="Arial" w:cs="Arial" w:eastAsia="Arial" w:hAnsi="Arial"/>
                <w:sz w:val="18"/>
                <w:szCs w:val="18"/>
                <w:color w:val="auto"/>
              </w:rPr>
              <w:t>As of December 31, 2010 and 2009, the Group’s VaR by risk type is as follows</w:t>
            </w:r>
            <w:r>
              <w:rPr>
                <w:rFonts w:ascii="Arial" w:cs="Arial" w:eastAsia="Arial" w:hAnsi="Arial"/>
                <w:sz w:val="18"/>
                <w:szCs w:val="18"/>
                <w:b w:val="1"/>
                <w:bCs w:val="1"/>
                <w:color w:val="auto"/>
              </w:rPr>
              <w:t>:</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6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34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1,767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rate risk</w:t>
            </w:r>
          </w:p>
        </w:tc>
        <w:tc>
          <w:tcPr>
            <w:tcW w:w="3460" w:type="dxa"/>
            <w:vAlign w:val="bottom"/>
          </w:tcPr>
          <w:p>
            <w:pPr>
              <w:jc w:val="right"/>
              <w:ind w:right="70"/>
              <w:spacing w:after="0"/>
              <w:rPr>
                <w:sz w:val="20"/>
                <w:szCs w:val="20"/>
                <w:color w:val="auto"/>
              </w:rPr>
            </w:pPr>
            <w:r>
              <w:rPr>
                <w:rFonts w:ascii="Arial" w:cs="Arial" w:eastAsia="Arial" w:hAnsi="Arial"/>
                <w:sz w:val="18"/>
                <w:szCs w:val="18"/>
                <w:color w:val="auto"/>
              </w:rPr>
              <w:t>3,593</w:t>
            </w:r>
          </w:p>
        </w:tc>
        <w:tc>
          <w:tcPr>
            <w:tcW w:w="102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34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126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3460" w:type="dxa"/>
            <w:vAlign w:val="bottom"/>
          </w:tcPr>
          <w:p>
            <w:pPr>
              <w:jc w:val="right"/>
              <w:ind w:right="70"/>
              <w:spacing w:after="0"/>
              <w:rPr>
                <w:sz w:val="20"/>
                <w:szCs w:val="20"/>
                <w:color w:val="auto"/>
              </w:rPr>
            </w:pPr>
            <w:r>
              <w:rPr>
                <w:rFonts w:ascii="Arial" w:cs="Arial" w:eastAsia="Arial" w:hAnsi="Arial"/>
                <w:sz w:val="18"/>
                <w:szCs w:val="18"/>
                <w:color w:val="auto"/>
              </w:rPr>
              <w:t>4,397</w:t>
            </w:r>
          </w:p>
        </w:tc>
        <w:tc>
          <w:tcPr>
            <w:tcW w:w="1020" w:type="dxa"/>
            <w:vAlign w:val="bottom"/>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486"/>
        <w:spacing w:after="0"/>
        <w:tabs>
          <w:tab w:leader="none" w:pos="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980" w:right="180"/>
        <w:spacing w:after="0" w:line="261" w:lineRule="auto"/>
        <w:rPr>
          <w:rFonts w:ascii="Arial" w:cs="Arial" w:eastAsia="Arial" w:hAnsi="Arial"/>
          <w:sz w:val="18"/>
          <w:szCs w:val="18"/>
          <w:color w:val="auto"/>
        </w:rPr>
      </w:pPr>
      <w:r>
        <w:rPr>
          <w:rFonts w:ascii="Arial" w:cs="Arial" w:eastAsia="Arial" w:hAnsi="Arial"/>
          <w:sz w:val="18"/>
          <w:szCs w:val="18"/>
          <w:color w:val="auto"/>
        </w:rPr>
        <w:t>Non-trading portfolios which comprise the ALM Book are exposed to different sensitivities that can bring about a deterioration in the value of the assets compared to its liabilities and hence to a reduction of its net worth.</w:t>
      </w:r>
    </w:p>
    <w:p>
      <w:pPr>
        <w:spacing w:after="0" w:line="183" w:lineRule="exact"/>
        <w:rPr>
          <w:rFonts w:ascii="Arial" w:cs="Arial" w:eastAsia="Arial" w:hAnsi="Arial"/>
          <w:sz w:val="18"/>
          <w:szCs w:val="18"/>
          <w:color w:val="auto"/>
        </w:rPr>
      </w:pPr>
    </w:p>
    <w:p>
      <w:pPr>
        <w:ind w:left="1620" w:hanging="640"/>
        <w:spacing w:after="0"/>
        <w:tabs>
          <w:tab w:leader="none" w:pos="162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Interest risk -</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19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Re-pricing gap -</w:t>
      </w:r>
    </w:p>
    <w:p>
      <w:pPr>
        <w:spacing w:after="0" w:line="23" w:lineRule="exact"/>
        <w:rPr>
          <w:rFonts w:ascii="Arial" w:cs="Arial" w:eastAsia="Arial" w:hAnsi="Arial"/>
          <w:sz w:val="18"/>
          <w:szCs w:val="18"/>
          <w:color w:val="auto"/>
        </w:rPr>
      </w:pPr>
    </w:p>
    <w:p>
      <w:pPr>
        <w:ind w:left="1620" w:right="180"/>
        <w:spacing w:after="0" w:line="323"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248" w:lineRule="exact"/>
        <w:rPr>
          <w:sz w:val="20"/>
          <w:szCs w:val="20"/>
          <w:color w:val="auto"/>
        </w:rPr>
      </w:pPr>
    </w:p>
    <w:tbl>
      <w:tblPr>
        <w:tblLayout w:type="fixed"/>
        <w:tblInd w:w="5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3"/>
                <w:szCs w:val="13"/>
                <w:b w:val="1"/>
                <w:bCs w:val="1"/>
                <w:color w:val="auto"/>
              </w:rPr>
              <w:t>As of December 31, 2010</w:t>
            </w: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86"/>
              </w:rPr>
              <w:t>Non-interest</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6"/>
              </w:rPr>
              <w:t>Up to 1 month</w:t>
            </w:r>
          </w:p>
        </w:tc>
        <w:tc>
          <w:tcPr>
            <w:tcW w:w="102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5"/>
              </w:rPr>
              <w:t>1 to 3 months</w:t>
            </w:r>
          </w:p>
        </w:tc>
        <w:tc>
          <w:tcPr>
            <w:tcW w:w="100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w w:val="84"/>
              </w:rPr>
              <w:t>3 to 12 months</w:t>
            </w:r>
          </w:p>
        </w:tc>
        <w:tc>
          <w:tcPr>
            <w:tcW w:w="1000" w:type="dxa"/>
            <w:vAlign w:val="bottom"/>
            <w:gridSpan w:val="2"/>
          </w:tcPr>
          <w:p>
            <w:pPr>
              <w:jc w:val="right"/>
              <w:ind w:right="280"/>
              <w:spacing w:after="0" w:line="139" w:lineRule="exact"/>
              <w:rPr>
                <w:sz w:val="20"/>
                <w:szCs w:val="20"/>
                <w:color w:val="auto"/>
              </w:rPr>
            </w:pPr>
            <w:r>
              <w:rPr>
                <w:rFonts w:ascii="Arial" w:cs="Arial" w:eastAsia="Arial" w:hAnsi="Arial"/>
                <w:sz w:val="13"/>
                <w:szCs w:val="13"/>
                <w:b w:val="1"/>
                <w:bCs w:val="1"/>
                <w:color w:val="auto"/>
                <w:w w:val="97"/>
              </w:rPr>
              <w:t>1 to 5 years</w:t>
            </w:r>
          </w:p>
        </w:tc>
        <w:tc>
          <w:tcPr>
            <w:tcW w:w="1160" w:type="dxa"/>
            <w:vAlign w:val="bottom"/>
            <w:gridSpan w:val="2"/>
          </w:tcPr>
          <w:p>
            <w:pPr>
              <w:jc w:val="right"/>
              <w:ind w:right="180"/>
              <w:spacing w:after="0" w:line="139" w:lineRule="exact"/>
              <w:rPr>
                <w:sz w:val="20"/>
                <w:szCs w:val="20"/>
                <w:color w:val="auto"/>
              </w:rPr>
            </w:pPr>
            <w:r>
              <w:rPr>
                <w:rFonts w:ascii="Arial" w:cs="Arial" w:eastAsia="Arial" w:hAnsi="Arial"/>
                <w:sz w:val="13"/>
                <w:szCs w:val="13"/>
                <w:b w:val="1"/>
                <w:bCs w:val="1"/>
                <w:color w:val="auto"/>
                <w:w w:val="86"/>
              </w:rPr>
              <w:t>More than 5 years</w:t>
            </w:r>
          </w:p>
        </w:tc>
        <w:tc>
          <w:tcPr>
            <w:tcW w:w="100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9"/>
              </w:rPr>
              <w:t>bearing</w:t>
            </w:r>
          </w:p>
        </w:tc>
        <w:tc>
          <w:tcPr>
            <w:tcW w:w="9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US$(000)</w:t>
            </w: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US$(000)</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US$(000)</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US$(000)</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US$(000)</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Assets</w:t>
            </w:r>
          </w:p>
        </w:tc>
        <w:tc>
          <w:tcPr>
            <w:tcW w:w="8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Cash and due from banks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5,606,278</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1,325,201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26,999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1,624,377</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8,582,855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Investments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535,658</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274,790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256,872</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860,605</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1,088,441</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867,450</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3,883,816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Loans, net</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1,903,439</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3,931,178</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2,594,608</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3,753,193</w:t>
            </w:r>
          </w:p>
        </w:tc>
        <w:tc>
          <w:tcPr>
            <w:tcW w:w="18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1,777,237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13,959,655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Assets designated at fair value through profit or loss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1,443</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2,999</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6,047</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168,526</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179,055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Premiums and other policies receivables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129,136</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129,136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Accounts receivable from reinsurers and coinsurers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160,249</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160,249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Other assets</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1,518,414</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1,518,414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assets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8,045,375</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5,531,209</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2,879,922</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4,616,797</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2,871,725</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4,468,152</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28,413,180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0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8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Deposits and obligations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6,366,203</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4,150,629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2,629,260</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518,882</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42,574</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4,360,570</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18,068,118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Due to banks and correspondents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512,259</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510,293</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960,721</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118,361</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110,220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32,592</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2,244,446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Accounts payable to reinsurers and coinsurers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60,775</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60,775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Technical, insurance claims reserves and reserves for</w:t>
            </w:r>
          </w:p>
        </w:tc>
        <w:tc>
          <w:tcPr>
            <w:tcW w:w="8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3"/>
                <w:szCs w:val="13"/>
                <w:color w:val="auto"/>
              </w:rPr>
              <w:t>unearned premiums</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51,258</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31,035</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139,700</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188,801</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432,951</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352,578</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1,196,323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Bonds and notes issued</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846,300</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39,086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138,369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422,571</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1,529,341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26,031</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3,001,698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liabilities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911,569</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911,569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Equity</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2,930,251</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2,930,251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liabilities and equity</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7,776,020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4,731,043</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3,868,050</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1,248,615</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2,115,086</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8,674,366</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28,413,180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0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Off-Balance sheet items</w:t>
            </w:r>
          </w:p>
        </w:tc>
        <w:tc>
          <w:tcPr>
            <w:tcW w:w="8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Derivatives assets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1,714,934</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1,263,398</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957,222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712,778</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88,737</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4,737,069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Derivatives liabilities</w:t>
            </w:r>
          </w:p>
        </w:tc>
        <w:tc>
          <w:tcPr>
            <w:tcW w:w="8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796,919</w:t>
            </w:r>
          </w:p>
        </w:tc>
        <w:tc>
          <w:tcPr>
            <w:tcW w:w="220" w:type="dxa"/>
            <w:vAlign w:val="bottom"/>
            <w:tcBorders>
              <w:bottom w:val="single" w:sz="8" w:color="CCFFCC"/>
            </w:tcBorders>
            <w:shd w:val="clear" w:color="auto" w:fill="CCFFCC"/>
          </w:tcPr>
          <w:p>
            <w:pPr>
              <w:spacing w:after="0"/>
              <w:rPr>
                <w:sz w:val="12"/>
                <w:szCs w:val="12"/>
                <w:color w:val="auto"/>
              </w:rPr>
            </w:pPr>
          </w:p>
        </w:tc>
        <w:tc>
          <w:tcPr>
            <w:tcW w:w="8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1,247,468</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1,111,120</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1,335,431</w:t>
            </w:r>
          </w:p>
        </w:tc>
        <w:tc>
          <w:tcPr>
            <w:tcW w:w="180" w:type="dxa"/>
            <w:vAlign w:val="bottom"/>
            <w:tcBorders>
              <w:bottom w:val="single" w:sz="8" w:color="CCFFCC"/>
            </w:tcBorders>
            <w:shd w:val="clear" w:color="auto" w:fill="CCFFCC"/>
          </w:tcPr>
          <w:p>
            <w:pPr>
              <w:spacing w:after="0"/>
              <w:rPr>
                <w:sz w:val="12"/>
                <w:szCs w:val="12"/>
                <w:color w:val="auto"/>
              </w:rPr>
            </w:pPr>
          </w:p>
        </w:tc>
        <w:tc>
          <w:tcPr>
            <w:tcW w:w="98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246,131</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4,737,069</w:t>
            </w:r>
          </w:p>
        </w:tc>
        <w:tc>
          <w:tcPr>
            <w:tcW w:w="8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918,015</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15,930</w:t>
            </w:r>
          </w:p>
        </w:tc>
        <w:tc>
          <w:tcPr>
            <w:tcW w:w="18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(153,898)</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(622,653)</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(157,394)</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Marginal gap</w:t>
            </w:r>
          </w:p>
        </w:tc>
        <w:tc>
          <w:tcPr>
            <w:tcW w:w="8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1,187,370</w:t>
            </w:r>
          </w:p>
        </w:tc>
        <w:tc>
          <w:tcPr>
            <w:tcW w:w="22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816,096</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(1,142,026)</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2,745,529</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599,245</w:t>
            </w:r>
          </w:p>
        </w:tc>
        <w:tc>
          <w:tcPr>
            <w:tcW w:w="10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(4,206,214)</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b w:val="1"/>
                <w:bCs w:val="1"/>
                <w:color w:val="auto"/>
              </w:rPr>
              <w:t>Accumulated gap</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1,187,370</w:t>
            </w:r>
          </w:p>
        </w:tc>
        <w:tc>
          <w:tcPr>
            <w:tcW w:w="220" w:type="dxa"/>
            <w:vAlign w:val="bottom"/>
            <w:tcBorders>
              <w:bottom w:val="single" w:sz="8" w:color="CCFFCC"/>
            </w:tcBorders>
            <w:shd w:val="clear" w:color="auto" w:fill="CCFFCC"/>
          </w:tcPr>
          <w:p>
            <w:pPr>
              <w:spacing w:after="0"/>
              <w:rPr>
                <w:sz w:val="22"/>
                <w:szCs w:val="22"/>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2,003,466</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861,440</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3,606,969</w:t>
            </w:r>
          </w:p>
        </w:tc>
        <w:tc>
          <w:tcPr>
            <w:tcW w:w="1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4,206,214</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3" w:right="31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0" w:lineRule="exact"/>
        <w:rPr>
          <w:sz w:val="20"/>
          <w:szCs w:val="20"/>
          <w:color w:val="auto"/>
        </w:rPr>
      </w:pPr>
    </w:p>
    <w:tbl>
      <w:tblPr>
        <w:tblLayout w:type="fixed"/>
        <w:tblInd w:w="50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3"/>
                <w:szCs w:val="13"/>
                <w:b w:val="1"/>
                <w:bCs w:val="1"/>
                <w:color w:val="auto"/>
              </w:rPr>
              <w:t>As of December 31, 2009</w:t>
            </w: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86"/>
              </w:rPr>
              <w:t>Non-interest</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86"/>
              </w:rPr>
              <w:t>Up to 1 month</w:t>
            </w:r>
          </w:p>
        </w:tc>
        <w:tc>
          <w:tcPr>
            <w:tcW w:w="102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5"/>
              </w:rPr>
              <w:t>1 to 3 months</w:t>
            </w:r>
          </w:p>
        </w:tc>
        <w:tc>
          <w:tcPr>
            <w:tcW w:w="100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w w:val="84"/>
              </w:rPr>
              <w:t>3 to 12 months</w:t>
            </w:r>
          </w:p>
        </w:tc>
        <w:tc>
          <w:tcPr>
            <w:tcW w:w="1000" w:type="dxa"/>
            <w:vAlign w:val="bottom"/>
            <w:gridSpan w:val="2"/>
          </w:tcPr>
          <w:p>
            <w:pPr>
              <w:jc w:val="right"/>
              <w:ind w:right="280"/>
              <w:spacing w:after="0" w:line="139" w:lineRule="exact"/>
              <w:rPr>
                <w:sz w:val="20"/>
                <w:szCs w:val="20"/>
                <w:color w:val="auto"/>
              </w:rPr>
            </w:pPr>
            <w:r>
              <w:rPr>
                <w:rFonts w:ascii="Arial" w:cs="Arial" w:eastAsia="Arial" w:hAnsi="Arial"/>
                <w:sz w:val="13"/>
                <w:szCs w:val="13"/>
                <w:b w:val="1"/>
                <w:bCs w:val="1"/>
                <w:color w:val="auto"/>
                <w:w w:val="97"/>
              </w:rPr>
              <w:t>1 to 5 years</w:t>
            </w:r>
          </w:p>
        </w:tc>
        <w:tc>
          <w:tcPr>
            <w:tcW w:w="1160" w:type="dxa"/>
            <w:vAlign w:val="bottom"/>
            <w:gridSpan w:val="2"/>
          </w:tcPr>
          <w:p>
            <w:pPr>
              <w:jc w:val="right"/>
              <w:ind w:right="180"/>
              <w:spacing w:after="0" w:line="139" w:lineRule="exact"/>
              <w:rPr>
                <w:sz w:val="20"/>
                <w:szCs w:val="20"/>
                <w:color w:val="auto"/>
              </w:rPr>
            </w:pPr>
            <w:r>
              <w:rPr>
                <w:rFonts w:ascii="Arial" w:cs="Arial" w:eastAsia="Arial" w:hAnsi="Arial"/>
                <w:sz w:val="13"/>
                <w:szCs w:val="13"/>
                <w:b w:val="1"/>
                <w:bCs w:val="1"/>
                <w:color w:val="auto"/>
                <w:w w:val="86"/>
              </w:rPr>
              <w:t>More than 5 years</w:t>
            </w:r>
          </w:p>
        </w:tc>
        <w:tc>
          <w:tcPr>
            <w:tcW w:w="100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9"/>
              </w:rPr>
              <w:t>bearing</w:t>
            </w:r>
          </w:p>
        </w:tc>
        <w:tc>
          <w:tcPr>
            <w:tcW w:w="9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US$(000)</w:t>
            </w: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US$(000)</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US$(000)</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US$(000)</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US$(000)</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Assets</w:t>
            </w:r>
          </w:p>
        </w:tc>
        <w:tc>
          <w:tcPr>
            <w:tcW w:w="8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Cash and due from banks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2,745,587</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70,616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81,969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938,486</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3,836,658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Investments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468,952</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956,305</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956,692</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1,188,886</w:t>
            </w:r>
          </w:p>
        </w:tc>
        <w:tc>
          <w:tcPr>
            <w:tcW w:w="18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879,810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699,735</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5,150,380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Loans, net</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1,739,632</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3,144,271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2,142,219</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3,176,243</w:t>
            </w:r>
          </w:p>
        </w:tc>
        <w:tc>
          <w:tcPr>
            <w:tcW w:w="18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1,028,915</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11,231,280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Assets designated at fair value through profit or loss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258</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1,657</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3,565</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129,880</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135,670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Premiums and other policies receivables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121,338</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121,338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Accounts receivable from reinsurers and coinsurers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137,098</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137,098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Other assets</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1,401,208</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1,401,208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assets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4,954,171</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4,171,450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3,181,190</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4,366,786</w:t>
            </w:r>
          </w:p>
        </w:tc>
        <w:tc>
          <w:tcPr>
            <w:tcW w:w="18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1,912,290</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3,427,745</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22,013,632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8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Deposits and obligations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4,025,133</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3,716,882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2,705,235</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311,252</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28,601</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3,297,995</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14,085,098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Due to banks and correspondents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310,694</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633,874</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10,208</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128,643</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57,835</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26,184</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1,167,438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Accounts payable to reinsurers and coinsurers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48,009</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48,009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Technical, insurance claims reserves and reserves for</w:t>
            </w:r>
          </w:p>
        </w:tc>
        <w:tc>
          <w:tcPr>
            <w:tcW w:w="8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FFCC"/>
          </w:tcPr>
          <w:p>
            <w:pPr>
              <w:spacing w:after="0"/>
              <w:rPr>
                <w:sz w:val="20"/>
                <w:szCs w:val="20"/>
                <w:color w:val="auto"/>
              </w:rPr>
            </w:pPr>
            <w:r>
              <w:rPr>
                <w:rFonts w:ascii="Arial" w:cs="Arial" w:eastAsia="Arial" w:hAnsi="Arial"/>
                <w:sz w:val="13"/>
                <w:szCs w:val="13"/>
                <w:color w:val="auto"/>
              </w:rPr>
              <w:t>unearned premiums</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39,932</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24,949</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112,373</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164,216</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367,552</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309,769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1,018,791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Bonds and notes issued</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959,341</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21,583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91,742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541,980</w:t>
            </w: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755,036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13,291</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2,382,973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liabilities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807,971</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807,971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Equity</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2,503,352</w:t>
            </w:r>
          </w:p>
        </w:tc>
        <w:tc>
          <w:tcPr>
            <w:tcW w:w="1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2,503,352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Total liabilities and equity</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5,335,100</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4,397,288</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2,919,558</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1,146,091</w:t>
            </w:r>
          </w:p>
        </w:tc>
        <w:tc>
          <w:tcPr>
            <w:tcW w:w="18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1,209,024</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7,006,571</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22,013,632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0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Off-Balance sheet items</w:t>
            </w:r>
          </w:p>
        </w:tc>
        <w:tc>
          <w:tcPr>
            <w:tcW w:w="8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line="135" w:lineRule="exact"/>
              <w:rPr>
                <w:sz w:val="20"/>
                <w:szCs w:val="20"/>
                <w:color w:val="auto"/>
              </w:rPr>
            </w:pPr>
            <w:r>
              <w:rPr>
                <w:rFonts w:ascii="Arial" w:cs="Arial" w:eastAsia="Arial" w:hAnsi="Arial"/>
                <w:sz w:val="13"/>
                <w:szCs w:val="13"/>
                <w:color w:val="auto"/>
              </w:rPr>
              <w:t>Derivatives assets</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1,906,470</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1,433,785</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888,658</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1,049,519</w:t>
            </w:r>
          </w:p>
        </w:tc>
        <w:tc>
          <w:tcPr>
            <w:tcW w:w="180" w:type="dxa"/>
            <w:vAlign w:val="bottom"/>
          </w:tcPr>
          <w:p>
            <w:pPr>
              <w:spacing w:after="0"/>
              <w:rPr>
                <w:sz w:val="11"/>
                <w:szCs w:val="11"/>
                <w:color w:val="auto"/>
              </w:rPr>
            </w:pPr>
          </w:p>
        </w:tc>
        <w:tc>
          <w:tcPr>
            <w:tcW w:w="11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61,732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5,340,164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Derivatives liabilities</w:t>
            </w:r>
          </w:p>
        </w:tc>
        <w:tc>
          <w:tcPr>
            <w:tcW w:w="8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871,557</w:t>
            </w:r>
          </w:p>
        </w:tc>
        <w:tc>
          <w:tcPr>
            <w:tcW w:w="220" w:type="dxa"/>
            <w:vAlign w:val="bottom"/>
            <w:tcBorders>
              <w:bottom w:val="single" w:sz="8" w:color="CCFFCC"/>
            </w:tcBorders>
            <w:shd w:val="clear" w:color="auto" w:fill="CCFFCC"/>
          </w:tcPr>
          <w:p>
            <w:pPr>
              <w:spacing w:after="0"/>
              <w:rPr>
                <w:sz w:val="12"/>
                <w:szCs w:val="12"/>
                <w:color w:val="auto"/>
              </w:rPr>
            </w:pPr>
          </w:p>
        </w:tc>
        <w:tc>
          <w:tcPr>
            <w:tcW w:w="8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1,127,635</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1,111,646</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1,859,281</w:t>
            </w:r>
          </w:p>
        </w:tc>
        <w:tc>
          <w:tcPr>
            <w:tcW w:w="180" w:type="dxa"/>
            <w:vAlign w:val="bottom"/>
            <w:tcBorders>
              <w:bottom w:val="single" w:sz="8" w:color="CCFFCC"/>
            </w:tcBorders>
            <w:shd w:val="clear" w:color="auto" w:fill="CCFFCC"/>
          </w:tcPr>
          <w:p>
            <w:pPr>
              <w:spacing w:after="0"/>
              <w:rPr>
                <w:sz w:val="12"/>
                <w:szCs w:val="12"/>
                <w:color w:val="auto"/>
              </w:rPr>
            </w:pPr>
          </w:p>
        </w:tc>
        <w:tc>
          <w:tcPr>
            <w:tcW w:w="98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370,045</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CFFCC"/>
            </w:tcBorders>
            <w:shd w:val="clear" w:color="auto" w:fill="CCFFCC"/>
          </w:tcPr>
          <w:p>
            <w:pPr>
              <w:spacing w:after="0"/>
              <w:rPr>
                <w:sz w:val="12"/>
                <w:szCs w:val="12"/>
                <w:color w:val="auto"/>
              </w:rPr>
            </w:pPr>
          </w:p>
        </w:tc>
        <w:tc>
          <w:tcPr>
            <w:tcW w:w="82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5,340,164</w:t>
            </w:r>
          </w:p>
        </w:tc>
        <w:tc>
          <w:tcPr>
            <w:tcW w:w="8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1,034,913</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306,150</w:t>
            </w:r>
          </w:p>
        </w:tc>
        <w:tc>
          <w:tcPr>
            <w:tcW w:w="18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(222,988)</w:t>
            </w: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(809,762)</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(308,313)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Marginal gap</w:t>
            </w:r>
          </w:p>
        </w:tc>
        <w:tc>
          <w:tcPr>
            <w:tcW w:w="8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653,984</w:t>
            </w:r>
          </w:p>
        </w:tc>
        <w:tc>
          <w:tcPr>
            <w:tcW w:w="22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80,312</w:t>
            </w: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38,644</w:t>
            </w: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2,410,933</w:t>
            </w:r>
          </w:p>
        </w:tc>
        <w:tc>
          <w:tcPr>
            <w:tcW w:w="18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394,953</w:t>
            </w:r>
          </w:p>
        </w:tc>
        <w:tc>
          <w:tcPr>
            <w:tcW w:w="18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(3,578,826)</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b w:val="1"/>
                <w:bCs w:val="1"/>
                <w:color w:val="auto"/>
              </w:rPr>
              <w:t>Accumulated gap</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653,984</w:t>
            </w:r>
          </w:p>
        </w:tc>
        <w:tc>
          <w:tcPr>
            <w:tcW w:w="220" w:type="dxa"/>
            <w:vAlign w:val="bottom"/>
            <w:tcBorders>
              <w:bottom w:val="single" w:sz="8" w:color="CCFFCC"/>
            </w:tcBorders>
            <w:shd w:val="clear" w:color="auto" w:fill="CCFFCC"/>
          </w:tcPr>
          <w:p>
            <w:pPr>
              <w:spacing w:after="0"/>
              <w:rPr>
                <w:sz w:val="22"/>
                <w:szCs w:val="22"/>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734,296</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772,940</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3,183,873</w:t>
            </w:r>
          </w:p>
        </w:tc>
        <w:tc>
          <w:tcPr>
            <w:tcW w:w="1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3,578,826</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83" w:right="79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Sensitivity to changes in interest rates -</w:t>
      </w:r>
    </w:p>
    <w:p>
      <w:pPr>
        <w:spacing w:after="0" w:line="23" w:lineRule="exact"/>
        <w:rPr>
          <w:sz w:val="20"/>
          <w:szCs w:val="20"/>
          <w:color w:val="auto"/>
        </w:rPr>
      </w:pPr>
    </w:p>
    <w:p>
      <w:pPr>
        <w:ind w:left="1620" w:right="240"/>
        <w:spacing w:after="0" w:line="255"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the Group’s consolidated income statement and consolidated statements of comprehensive income; before income tax and Non-controlling interest.</w:t>
      </w:r>
    </w:p>
    <w:p>
      <w:pPr>
        <w:spacing w:after="0" w:line="190" w:lineRule="exact"/>
        <w:rPr>
          <w:sz w:val="20"/>
          <w:szCs w:val="20"/>
          <w:color w:val="auto"/>
        </w:rPr>
      </w:pPr>
    </w:p>
    <w:p>
      <w:pPr>
        <w:ind w:left="1620" w:right="60"/>
        <w:spacing w:after="0" w:line="273"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and Non-controlling interest, based on the floating rate of non-trading financial assets and financial liabilities held at December 31, 2010 and 2009, including the effect of derivatives instruments. The sensitivity of consolidated comprehensive income is calculated by revaluing fixed rate available-for-sale financial assets, before income tax and Non-controlling interest, including the effect of any associated hedges, and derivatives instruments designated as cash flow hedges, as of December 31, 2010 and 2009 for the effects of the assumed changes in interest rates:</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rPr>
              <w:t>As of December 31, 2010</w:t>
            </w:r>
          </w:p>
        </w:tc>
        <w:tc>
          <w:tcPr>
            <w:tcW w:w="1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360" w:type="dxa"/>
            <w:vAlign w:val="bottom"/>
          </w:tcPr>
          <w:p>
            <w:pPr>
              <w:spacing w:after="0"/>
              <w:rPr>
                <w:sz w:val="17"/>
                <w:szCs w:val="17"/>
                <w:color w:val="auto"/>
              </w:rPr>
            </w:pPr>
          </w:p>
        </w:tc>
        <w:tc>
          <w:tcPr>
            <w:tcW w:w="144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w w:val="85"/>
              </w:rPr>
              <w:t>Changes in basis points</w:t>
            </w:r>
          </w:p>
        </w:tc>
        <w:tc>
          <w:tcPr>
            <w:tcW w:w="360" w:type="dxa"/>
            <w:vAlign w:val="bottom"/>
          </w:tcPr>
          <w:p>
            <w:pPr>
              <w:spacing w:after="0"/>
              <w:rPr>
                <w:sz w:val="19"/>
                <w:szCs w:val="19"/>
                <w:color w:val="auto"/>
              </w:rPr>
            </w:pPr>
          </w:p>
        </w:tc>
        <w:tc>
          <w:tcPr>
            <w:tcW w:w="1300" w:type="dxa"/>
            <w:vAlign w:val="bottom"/>
          </w:tcPr>
          <w:p>
            <w:pPr>
              <w:jc w:val="center"/>
              <w:ind w:right="310"/>
              <w:spacing w:after="0"/>
              <w:rPr>
                <w:sz w:val="20"/>
                <w:szCs w:val="20"/>
                <w:color w:val="auto"/>
              </w:rPr>
            </w:pPr>
            <w:r>
              <w:rPr>
                <w:rFonts w:ascii="Arial" w:cs="Arial" w:eastAsia="Arial" w:hAnsi="Arial"/>
                <w:sz w:val="18"/>
                <w:szCs w:val="18"/>
                <w:b w:val="1"/>
                <w:bCs w:val="1"/>
                <w:color w:val="auto"/>
                <w:w w:val="85"/>
              </w:rPr>
              <w:t>income</w:t>
            </w:r>
          </w:p>
        </w:tc>
        <w:tc>
          <w:tcPr>
            <w:tcW w:w="1820" w:type="dxa"/>
            <w:vAlign w:val="bottom"/>
            <w:gridSpan w:val="3"/>
          </w:tcPr>
          <w:p>
            <w:pPr>
              <w:ind w:left="80"/>
              <w:spacing w:after="0"/>
              <w:rPr>
                <w:sz w:val="20"/>
                <w:szCs w:val="20"/>
                <w:color w:val="auto"/>
              </w:rPr>
            </w:pPr>
            <w:r>
              <w:rPr>
                <w:rFonts w:ascii="Arial" w:cs="Arial" w:eastAsia="Arial" w:hAnsi="Arial"/>
                <w:sz w:val="18"/>
                <w:szCs w:val="18"/>
                <w:b w:val="1"/>
                <w:bCs w:val="1"/>
                <w:color w:val="auto"/>
                <w:w w:val="85"/>
              </w:rPr>
              <w:t>comprehensive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center"/>
              <w:ind w:right="310"/>
              <w:spacing w:after="0"/>
              <w:rPr>
                <w:sz w:val="20"/>
                <w:szCs w:val="20"/>
                <w:color w:val="auto"/>
              </w:rPr>
            </w:pPr>
            <w:r>
              <w:rPr>
                <w:rFonts w:ascii="Arial" w:cs="Arial" w:eastAsia="Arial" w:hAnsi="Arial"/>
                <w:sz w:val="18"/>
                <w:szCs w:val="18"/>
                <w:color w:val="auto"/>
                <w:w w:val="90"/>
              </w:rPr>
              <w:t>US$(000)</w:t>
            </w:r>
          </w:p>
        </w:tc>
        <w:tc>
          <w:tcPr>
            <w:tcW w:w="36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8,607</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12,911</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17,215</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25,822</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2,487</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3,317</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4,917</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97,624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As of December 31, 2009</w:t>
            </w:r>
          </w:p>
        </w:tc>
        <w:tc>
          <w:tcPr>
            <w:tcW w:w="1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360" w:type="dxa"/>
            <w:vAlign w:val="bottom"/>
          </w:tcPr>
          <w:p>
            <w:pPr>
              <w:spacing w:after="0"/>
              <w:rPr>
                <w:sz w:val="17"/>
                <w:szCs w:val="17"/>
                <w:color w:val="auto"/>
              </w:rPr>
            </w:pPr>
          </w:p>
        </w:tc>
        <w:tc>
          <w:tcPr>
            <w:tcW w:w="144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Changes in basis points</w:t>
            </w:r>
          </w:p>
        </w:tc>
        <w:tc>
          <w:tcPr>
            <w:tcW w:w="360" w:type="dxa"/>
            <w:vAlign w:val="bottom"/>
          </w:tcPr>
          <w:p>
            <w:pPr>
              <w:spacing w:after="0"/>
              <w:rPr>
                <w:sz w:val="19"/>
                <w:szCs w:val="19"/>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b w:val="1"/>
                <w:bCs w:val="1"/>
                <w:color w:val="auto"/>
                <w:w w:val="85"/>
              </w:rPr>
              <w:t>income</w:t>
            </w:r>
          </w:p>
        </w:tc>
        <w:tc>
          <w:tcPr>
            <w:tcW w:w="1820" w:type="dxa"/>
            <w:vAlign w:val="bottom"/>
            <w:gridSpan w:val="3"/>
          </w:tcPr>
          <w:p>
            <w:pPr>
              <w:ind w:left="80"/>
              <w:spacing w:after="0"/>
              <w:rPr>
                <w:sz w:val="20"/>
                <w:szCs w:val="20"/>
                <w:color w:val="auto"/>
              </w:rPr>
            </w:pPr>
            <w:r>
              <w:rPr>
                <w:rFonts w:ascii="Arial" w:cs="Arial" w:eastAsia="Arial" w:hAnsi="Arial"/>
                <w:sz w:val="18"/>
                <w:szCs w:val="18"/>
                <w:b w:val="1"/>
                <w:bCs w:val="1"/>
                <w:color w:val="auto"/>
                <w:w w:val="85"/>
              </w:rPr>
              <w:t>comprehensive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90"/>
              </w:rPr>
              <w:t>US$(000)</w:t>
            </w:r>
          </w:p>
        </w:tc>
        <w:tc>
          <w:tcPr>
            <w:tcW w:w="36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10,484</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15,727</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20,969</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U.S. Dollar</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31,453</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129,523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3,446</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5,169</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6,892</w:t>
            </w:r>
          </w:p>
        </w:tc>
        <w:tc>
          <w:tcPr>
            <w:tcW w:w="36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Peruvian Currency</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10,339</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74,567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2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100"/>
        <w:spacing w:after="0" w:line="286" w:lineRule="auto"/>
        <w:rPr>
          <w:sz w:val="20"/>
          <w:szCs w:val="20"/>
          <w:color w:val="auto"/>
        </w:rPr>
      </w:pPr>
      <w:r>
        <w:rPr>
          <w:rFonts w:ascii="Arial" w:cs="Arial" w:eastAsia="Arial" w:hAnsi="Arial"/>
          <w:sz w:val="17"/>
          <w:szCs w:val="17"/>
          <w:color w:val="auto"/>
        </w:rPr>
        <w:t>Securities and mutual funds are not considered as part of the investment securities for sensitivity calculation purposes; however, a 10, 25 and 30 percent for equity and mutual funds changes in market prices is conducted to these price-sensitivity securities and the expected unrealized gain or loss, before income tax, as of December 31, 2010 and 2009 is presented below:</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Changes in market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Market price sensitivity</w:t>
            </w:r>
          </w:p>
        </w:tc>
        <w:tc>
          <w:tcPr>
            <w:tcW w:w="1600" w:type="dxa"/>
            <w:vAlign w:val="bottom"/>
            <w:gridSpan w:val="2"/>
          </w:tcPr>
          <w:p>
            <w:pPr>
              <w:ind w:left="500"/>
              <w:spacing w:after="0"/>
              <w:rPr>
                <w:sz w:val="20"/>
                <w:szCs w:val="20"/>
                <w:color w:val="auto"/>
              </w:rPr>
            </w:pPr>
            <w:r>
              <w:rPr>
                <w:rFonts w:ascii="Arial" w:cs="Arial" w:eastAsia="Arial" w:hAnsi="Arial"/>
                <w:sz w:val="18"/>
                <w:szCs w:val="18"/>
                <w:b w:val="1"/>
                <w:bCs w:val="1"/>
                <w:color w:val="auto"/>
              </w:rPr>
              <w:t>prices</w:t>
            </w: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US$(000)</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54,052</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135,129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162,155</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Mutual funds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7,714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19,285</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Mutual funds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23,142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52,361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20" w:hanging="640"/>
        <w:spacing w:after="0"/>
        <w:tabs>
          <w:tab w:leader="none" w:pos="16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3" w:lineRule="exact"/>
        <w:rPr>
          <w:rFonts w:ascii="Arial" w:cs="Arial" w:eastAsia="Arial" w:hAnsi="Arial"/>
          <w:sz w:val="18"/>
          <w:szCs w:val="18"/>
          <w:color w:val="auto"/>
        </w:rPr>
      </w:pPr>
    </w:p>
    <w:p>
      <w:pPr>
        <w:ind w:left="1620"/>
        <w:spacing w:after="0" w:line="261" w:lineRule="auto"/>
        <w:rPr>
          <w:rFonts w:ascii="Arial" w:cs="Arial" w:eastAsia="Arial" w:hAnsi="Arial"/>
          <w:sz w:val="18"/>
          <w:szCs w:val="18"/>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3" w:right="31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December 31, 2010 and 2009, the Group’s assets and liabilities by currencies were as follows:</w:t>
      </w:r>
    </w:p>
    <w:p>
      <w:pPr>
        <w:spacing w:after="0" w:line="288" w:lineRule="exact"/>
        <w:rPr>
          <w:sz w:val="20"/>
          <w:szCs w:val="20"/>
          <w:color w:val="auto"/>
        </w:rPr>
      </w:pPr>
    </w:p>
    <w:tbl>
      <w:tblPr>
        <w:tblLayout w:type="fixed"/>
        <w:tblInd w:w="1380" w:type="dxa"/>
        <w:tblCellMar>
          <w:top w:w="0" w:type="dxa"/>
          <w:left w:w="0" w:type="dxa"/>
          <w:bottom w:w="0" w:type="dxa"/>
          <w:right w:w="0" w:type="dxa"/>
        </w:tblCellMar>
      </w:tblPr>
      <w:tr>
        <w:trPr>
          <w:trHeight w:val="160"/>
        </w:trPr>
        <w:tc>
          <w:tcPr>
            <w:tcW w:w="3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2009</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280"/>
              <w:spacing w:after="0" w:line="117" w:lineRule="exact"/>
              <w:rPr>
                <w:sz w:val="20"/>
                <w:szCs w:val="20"/>
                <w:color w:val="auto"/>
              </w:rPr>
            </w:pPr>
            <w:r>
              <w:rPr>
                <w:rFonts w:ascii="Arial" w:cs="Arial" w:eastAsia="Arial" w:hAnsi="Arial"/>
                <w:sz w:val="13"/>
                <w:szCs w:val="13"/>
                <w:b w:val="1"/>
                <w:bCs w:val="1"/>
                <w:color w:val="auto"/>
                <w:w w:val="98"/>
              </w:rPr>
              <w:t>Peruvian</w:t>
            </w:r>
          </w:p>
        </w:tc>
        <w:tc>
          <w:tcPr>
            <w:tcW w:w="780" w:type="dxa"/>
            <w:vAlign w:val="bottom"/>
            <w:gridSpan w:val="2"/>
          </w:tcPr>
          <w:p>
            <w:pPr>
              <w:jc w:val="center"/>
              <w:ind w:right="180"/>
              <w:spacing w:after="0" w:line="117" w:lineRule="exact"/>
              <w:rPr>
                <w:sz w:val="20"/>
                <w:szCs w:val="20"/>
                <w:color w:val="auto"/>
              </w:rPr>
            </w:pPr>
            <w:r>
              <w:rPr>
                <w:rFonts w:ascii="Arial" w:cs="Arial" w:eastAsia="Arial" w:hAnsi="Arial"/>
                <w:sz w:val="13"/>
                <w:szCs w:val="13"/>
                <w:b w:val="1"/>
                <w:bCs w:val="1"/>
                <w:color w:val="auto"/>
                <w:w w:val="92"/>
              </w:rPr>
              <w:t>Other</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right"/>
              <w:ind w:right="320"/>
              <w:spacing w:after="0" w:line="117" w:lineRule="exact"/>
              <w:rPr>
                <w:sz w:val="20"/>
                <w:szCs w:val="20"/>
                <w:color w:val="auto"/>
              </w:rPr>
            </w:pPr>
            <w:r>
              <w:rPr>
                <w:rFonts w:ascii="Arial" w:cs="Arial" w:eastAsia="Arial" w:hAnsi="Arial"/>
                <w:sz w:val="13"/>
                <w:szCs w:val="13"/>
                <w:b w:val="1"/>
                <w:bCs w:val="1"/>
                <w:color w:val="auto"/>
                <w:w w:val="94"/>
              </w:rPr>
              <w:t>Peruvian</w:t>
            </w:r>
          </w:p>
        </w:tc>
        <w:tc>
          <w:tcPr>
            <w:tcW w:w="76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92"/>
              </w:rPr>
              <w:t>Other</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9"/>
        </w:trPr>
        <w:tc>
          <w:tcPr>
            <w:tcW w:w="3240" w:type="dxa"/>
            <w:vAlign w:val="bottom"/>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w w:val="90"/>
              </w:rPr>
              <w:t>U.S. Dollars</w:t>
            </w:r>
          </w:p>
        </w:tc>
        <w:tc>
          <w:tcPr>
            <w:tcW w:w="840" w:type="dxa"/>
            <w:vAlign w:val="bottom"/>
            <w:gridSpan w:val="2"/>
          </w:tcPr>
          <w:p>
            <w:pPr>
              <w:jc w:val="right"/>
              <w:ind w:right="280"/>
              <w:spacing w:after="0" w:line="139" w:lineRule="exact"/>
              <w:rPr>
                <w:sz w:val="20"/>
                <w:szCs w:val="20"/>
                <w:color w:val="auto"/>
              </w:rPr>
            </w:pPr>
            <w:r>
              <w:rPr>
                <w:rFonts w:ascii="Arial" w:cs="Arial" w:eastAsia="Arial" w:hAnsi="Arial"/>
                <w:sz w:val="13"/>
                <w:szCs w:val="13"/>
                <w:b w:val="1"/>
                <w:bCs w:val="1"/>
                <w:color w:val="auto"/>
                <w:w w:val="98"/>
              </w:rPr>
              <w:t>currency</w:t>
            </w: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5"/>
              </w:rPr>
              <w:t>currencies</w:t>
            </w:r>
          </w:p>
        </w:tc>
        <w:tc>
          <w:tcPr>
            <w:tcW w:w="920" w:type="dxa"/>
            <w:vAlign w:val="bottom"/>
            <w:gridSpan w:val="2"/>
          </w:tcPr>
          <w:p>
            <w:pPr>
              <w:jc w:val="right"/>
              <w:ind w:right="420"/>
              <w:spacing w:after="0" w:line="139" w:lineRule="exact"/>
              <w:rPr>
                <w:sz w:val="20"/>
                <w:szCs w:val="20"/>
                <w:color w:val="auto"/>
              </w:rPr>
            </w:pPr>
            <w:r>
              <w:rPr>
                <w:rFonts w:ascii="Arial" w:cs="Arial" w:eastAsia="Arial" w:hAnsi="Arial"/>
                <w:sz w:val="13"/>
                <w:szCs w:val="13"/>
                <w:b w:val="1"/>
                <w:bCs w:val="1"/>
                <w:color w:val="auto"/>
              </w:rPr>
              <w:t>Total</w:t>
            </w:r>
          </w:p>
        </w:tc>
        <w:tc>
          <w:tcPr>
            <w:tcW w:w="900" w:type="dxa"/>
            <w:vAlign w:val="bottom"/>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w w:val="90"/>
              </w:rPr>
              <w:t>U.S. Dollars</w:t>
            </w:r>
          </w:p>
        </w:tc>
        <w:tc>
          <w:tcPr>
            <w:tcW w:w="860" w:type="dxa"/>
            <w:vAlign w:val="bottom"/>
            <w:gridSpan w:val="2"/>
          </w:tcPr>
          <w:p>
            <w:pPr>
              <w:jc w:val="right"/>
              <w:ind w:right="300"/>
              <w:spacing w:after="0" w:line="139" w:lineRule="exact"/>
              <w:rPr>
                <w:sz w:val="20"/>
                <w:szCs w:val="20"/>
                <w:color w:val="auto"/>
              </w:rPr>
            </w:pPr>
            <w:r>
              <w:rPr>
                <w:rFonts w:ascii="Arial" w:cs="Arial" w:eastAsia="Arial" w:hAnsi="Arial"/>
                <w:sz w:val="13"/>
                <w:szCs w:val="13"/>
                <w:b w:val="1"/>
                <w:bCs w:val="1"/>
                <w:color w:val="auto"/>
                <w:w w:val="98"/>
              </w:rPr>
              <w:t>currency</w:t>
            </w:r>
          </w:p>
        </w:tc>
        <w:tc>
          <w:tcPr>
            <w:tcW w:w="7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85"/>
              </w:rPr>
              <w:t>currencies</w:t>
            </w:r>
          </w:p>
        </w:tc>
        <w:tc>
          <w:tcPr>
            <w:tcW w:w="82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Total</w:t>
            </w:r>
          </w:p>
        </w:tc>
      </w:tr>
      <w:tr>
        <w:trPr>
          <w:trHeight w:val="160"/>
        </w:trPr>
        <w:tc>
          <w:tcPr>
            <w:tcW w:w="324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US$(000)</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US$(000)</w:t>
            </w:r>
          </w:p>
        </w:tc>
        <w:tc>
          <w:tcPr>
            <w:tcW w:w="780" w:type="dxa"/>
            <w:vAlign w:val="bottom"/>
            <w:gridSpan w:val="2"/>
          </w:tcPr>
          <w:p>
            <w:pPr>
              <w:jc w:val="center"/>
              <w:ind w:right="180"/>
              <w:spacing w:after="0"/>
              <w:rPr>
                <w:sz w:val="20"/>
                <w:szCs w:val="20"/>
                <w:color w:val="auto"/>
              </w:rPr>
            </w:pPr>
            <w:r>
              <w:rPr>
                <w:rFonts w:ascii="Arial" w:cs="Arial" w:eastAsia="Arial" w:hAnsi="Arial"/>
                <w:sz w:val="13"/>
                <w:szCs w:val="13"/>
                <w:color w:val="auto"/>
                <w:w w:val="86"/>
              </w:rPr>
              <w:t>US$(000)</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US$(000)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US$(000)</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w w:val="96"/>
              </w:rPr>
              <w:t>US$(000)</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US$(000)</w:t>
            </w:r>
          </w:p>
        </w:tc>
      </w:tr>
      <w:tr>
        <w:trPr>
          <w:trHeight w:val="124"/>
        </w:trPr>
        <w:tc>
          <w:tcPr>
            <w:tcW w:w="3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Monetary assets -</w:t>
            </w:r>
          </w:p>
        </w:tc>
        <w:tc>
          <w:tcPr>
            <w:tcW w:w="7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20" w:type="dxa"/>
            <w:vAlign w:val="bottom"/>
            <w:tcBorders>
              <w:right w:val="single" w:sz="8" w:color="CCFFCC"/>
            </w:tcBorders>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Cash and due from banks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3,594,405</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4,747,802</w:t>
            </w:r>
          </w:p>
        </w:tc>
        <w:tc>
          <w:tcPr>
            <w:tcW w:w="1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240,648</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8,582,855</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3,094,366</w:t>
            </w: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501,769</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240,523</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3,836,658</w:t>
            </w:r>
          </w:p>
        </w:tc>
        <w:tc>
          <w:tcPr>
            <w:tcW w:w="100" w:type="dxa"/>
            <w:vAlign w:val="bottom"/>
          </w:tcPr>
          <w:p>
            <w:pPr>
              <w:spacing w:after="0"/>
              <w:rPr>
                <w:sz w:val="11"/>
                <w:szCs w:val="11"/>
                <w:color w:val="auto"/>
              </w:rPr>
            </w:pP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Trading securities</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59,020</w:t>
            </w:r>
          </w:p>
        </w:tc>
        <w:tc>
          <w:tcPr>
            <w:tcW w:w="8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56,548</w:t>
            </w:r>
          </w:p>
        </w:tc>
        <w:tc>
          <w:tcPr>
            <w:tcW w:w="7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115,568</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13,982</w:t>
            </w:r>
          </w:p>
        </w:tc>
        <w:tc>
          <w:tcPr>
            <w:tcW w:w="860" w:type="dxa"/>
            <w:vAlign w:val="bottom"/>
            <w:tcBorders>
              <w:right w:val="single" w:sz="8" w:color="CCFFCC"/>
            </w:tcBorders>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8,920</w:t>
            </w:r>
          </w:p>
        </w:tc>
        <w:tc>
          <w:tcPr>
            <w:tcW w:w="7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47,872</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70,774</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Available-for-sale investments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2,162,738</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1,223,339</w:t>
            </w:r>
          </w:p>
        </w:tc>
        <w:tc>
          <w:tcPr>
            <w:tcW w:w="18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382,171</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3,768,248</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2,354,804</w:t>
            </w:r>
          </w:p>
        </w:tc>
        <w:tc>
          <w:tcPr>
            <w:tcW w:w="2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2,034,768</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690,034</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5,079,606</w:t>
            </w:r>
          </w:p>
        </w:tc>
        <w:tc>
          <w:tcPr>
            <w:tcW w:w="100" w:type="dxa"/>
            <w:vAlign w:val="bottom"/>
          </w:tcPr>
          <w:p>
            <w:pPr>
              <w:spacing w:after="0"/>
              <w:rPr>
                <w:sz w:val="11"/>
                <w:szCs w:val="11"/>
                <w:color w:val="auto"/>
              </w:rPr>
            </w:pP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Loans, net</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8,356,316</w:t>
            </w: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5,260,816</w:t>
            </w:r>
          </w:p>
        </w:tc>
        <w:tc>
          <w:tcPr>
            <w:tcW w:w="1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342,523</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13,959,655</w:t>
            </w: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6,755,563</w:t>
            </w:r>
          </w:p>
        </w:tc>
        <w:tc>
          <w:tcPr>
            <w:tcW w:w="200" w:type="dxa"/>
            <w:vAlign w:val="bottom"/>
            <w:shd w:val="clear" w:color="auto" w:fill="CCFFCC"/>
          </w:tcPr>
          <w:p>
            <w:pPr>
              <w:spacing w:after="0"/>
              <w:rPr>
                <w:sz w:val="11"/>
                <w:szCs w:val="11"/>
                <w:color w:val="auto"/>
              </w:rPr>
            </w:pPr>
          </w:p>
        </w:tc>
        <w:tc>
          <w:tcPr>
            <w:tcW w:w="860" w:type="dxa"/>
            <w:vAlign w:val="bottom"/>
            <w:tcBorders>
              <w:right w:val="single" w:sz="8" w:color="CCFFCC"/>
            </w:tcBorders>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4,285,076</w:t>
            </w:r>
          </w:p>
        </w:tc>
        <w:tc>
          <w:tcPr>
            <w:tcW w:w="7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190,641</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11,231,280</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w w:val="91"/>
              </w:rPr>
              <w:t>Financial assets designated to fair value through profit or loss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179,055</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179,055</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135,670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135,670</w:t>
            </w:r>
          </w:p>
        </w:tc>
        <w:tc>
          <w:tcPr>
            <w:tcW w:w="100" w:type="dxa"/>
            <w:vAlign w:val="bottom"/>
          </w:tcPr>
          <w:p>
            <w:pPr>
              <w:spacing w:after="0"/>
              <w:rPr>
                <w:sz w:val="11"/>
                <w:szCs w:val="11"/>
                <w:color w:val="auto"/>
              </w:rPr>
            </w:pP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assets</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422,890</w:t>
            </w:r>
          </w:p>
        </w:tc>
        <w:tc>
          <w:tcPr>
            <w:tcW w:w="20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530,516</w:t>
            </w:r>
          </w:p>
        </w:tc>
        <w:tc>
          <w:tcPr>
            <w:tcW w:w="180" w:type="dxa"/>
            <w:vAlign w:val="bottom"/>
            <w:shd w:val="clear" w:color="auto" w:fill="CCFFCC"/>
          </w:tcPr>
          <w:p>
            <w:pPr>
              <w:spacing w:after="0"/>
              <w:rPr>
                <w:sz w:val="11"/>
                <w:szCs w:val="11"/>
                <w:color w:val="auto"/>
              </w:rPr>
            </w:pPr>
          </w:p>
        </w:tc>
        <w:tc>
          <w:tcPr>
            <w:tcW w:w="6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14,382</w:t>
            </w:r>
          </w:p>
        </w:tc>
        <w:tc>
          <w:tcPr>
            <w:tcW w:w="18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967,788</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369,995</w:t>
            </w:r>
          </w:p>
        </w:tc>
        <w:tc>
          <w:tcPr>
            <w:tcW w:w="860" w:type="dxa"/>
            <w:vAlign w:val="bottom"/>
            <w:tcBorders>
              <w:right w:val="single" w:sz="8" w:color="CCFFCC"/>
            </w:tcBorders>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549,982</w:t>
            </w:r>
          </w:p>
        </w:tc>
        <w:tc>
          <w:tcPr>
            <w:tcW w:w="7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22,977</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942,954</w:t>
            </w:r>
          </w:p>
        </w:tc>
        <w:tc>
          <w:tcPr>
            <w:tcW w:w="100" w:type="dxa"/>
            <w:vAlign w:val="bottom"/>
            <w:shd w:val="clear" w:color="auto" w:fill="CCFFCC"/>
          </w:tcPr>
          <w:p>
            <w:pPr>
              <w:spacing w:after="0"/>
              <w:rPr>
                <w:sz w:val="11"/>
                <w:szCs w:val="11"/>
                <w:color w:val="auto"/>
              </w:rPr>
            </w:pPr>
          </w:p>
        </w:tc>
      </w:tr>
      <w:tr>
        <w:trPr>
          <w:trHeight w:val="27"/>
        </w:trPr>
        <w:tc>
          <w:tcPr>
            <w:tcW w:w="3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FFC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142"/>
        </w:trPr>
        <w:tc>
          <w:tcPr>
            <w:tcW w:w="3240" w:type="dxa"/>
            <w:vAlign w:val="bottom"/>
          </w:tcPr>
          <w:p>
            <w:pPr>
              <w:spacing w:after="0"/>
              <w:rPr>
                <w:sz w:val="12"/>
                <w:szCs w:val="12"/>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14,774,424</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8"/>
              </w:rPr>
              <w:t>11,819,021</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979,724</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27,573,169</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12,724,380</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7,380,515</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6"/>
              </w:rPr>
              <w:t>1,192,047</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21,296,942</w:t>
            </w:r>
          </w:p>
        </w:tc>
      </w:tr>
      <w:tr>
        <w:trPr>
          <w:trHeight w:val="135"/>
        </w:trPr>
        <w:tc>
          <w:tcPr>
            <w:tcW w:w="324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220" w:type="dxa"/>
            <w:vAlign w:val="bottom"/>
            <w:tcBorders>
              <w:right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Monetary liabilities -</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Deposits and obligations</w:t>
            </w:r>
          </w:p>
        </w:tc>
        <w:tc>
          <w:tcPr>
            <w:tcW w:w="9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(9,385,298)</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(8,051,953)</w:t>
            </w:r>
          </w:p>
        </w:tc>
        <w:tc>
          <w:tcPr>
            <w:tcW w:w="7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(630,867)</w:t>
            </w:r>
          </w:p>
        </w:tc>
        <w:tc>
          <w:tcPr>
            <w:tcW w:w="9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(18,068,118)</w:t>
            </w:r>
          </w:p>
        </w:tc>
        <w:tc>
          <w:tcPr>
            <w:tcW w:w="90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(8,156,869)</w:t>
            </w:r>
          </w:p>
        </w:tc>
        <w:tc>
          <w:tcPr>
            <w:tcW w:w="860" w:type="dxa"/>
            <w:vAlign w:val="bottom"/>
            <w:tcBorders>
              <w:right w:val="single" w:sz="8" w:color="CCFFCC"/>
            </w:tcBorders>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w w:val="99"/>
              </w:rPr>
              <w:t>(5,392,050)</w:t>
            </w:r>
          </w:p>
        </w:tc>
        <w:tc>
          <w:tcPr>
            <w:tcW w:w="7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(536,179)</w:t>
            </w:r>
          </w:p>
        </w:tc>
        <w:tc>
          <w:tcPr>
            <w:tcW w:w="82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(14,085,098)</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Due to bank and correspondents</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(1,970,971)</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(273,366)</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(2,244,446)</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(1,037,742)</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(128,800)</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(896)</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(1,167,438)</w:t>
            </w:r>
          </w:p>
        </w:tc>
      </w:tr>
      <w:tr>
        <w:trPr>
          <w:trHeight w:val="121"/>
        </w:trPr>
        <w:tc>
          <w:tcPr>
            <w:tcW w:w="324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88"/>
              </w:rPr>
              <w:t>Technical reserves, insurance claims reserves and reserves for</w:t>
            </w:r>
          </w:p>
        </w:tc>
        <w:tc>
          <w:tcPr>
            <w:tcW w:w="7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2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40" w:type="dxa"/>
            <w:vAlign w:val="bottom"/>
            <w:shd w:val="clear" w:color="auto" w:fill="CCFFCC"/>
          </w:tcPr>
          <w:p>
            <w:pPr>
              <w:spacing w:after="0"/>
              <w:rPr>
                <w:sz w:val="20"/>
                <w:szCs w:val="20"/>
                <w:color w:val="auto"/>
              </w:rPr>
            </w:pPr>
            <w:r>
              <w:rPr>
                <w:rFonts w:ascii="Arial" w:cs="Arial" w:eastAsia="Arial" w:hAnsi="Arial"/>
                <w:sz w:val="13"/>
                <w:szCs w:val="13"/>
                <w:color w:val="auto"/>
              </w:rPr>
              <w:t>unearned premiums</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(892,998)</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(303,325)</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(1,196,323)</w:t>
            </w:r>
          </w:p>
        </w:tc>
        <w:tc>
          <w:tcPr>
            <w:tcW w:w="90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(744,393)</w:t>
            </w:r>
          </w:p>
        </w:tc>
        <w:tc>
          <w:tcPr>
            <w:tcW w:w="86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(274,398)</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(1,018,791)</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Bonds and notes issued</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(2,327,172)</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(550,014)</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(124,512)</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(3,001,698)</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(1,701,319)</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(569,469)</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(112,185)</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(2,382,973)</w:t>
            </w: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Other liabilities</w:t>
            </w:r>
          </w:p>
        </w:tc>
        <w:tc>
          <w:tcPr>
            <w:tcW w:w="9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(530,611)</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(375,394)</w:t>
            </w:r>
          </w:p>
        </w:tc>
        <w:tc>
          <w:tcPr>
            <w:tcW w:w="7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(66,339)</w:t>
            </w:r>
          </w:p>
        </w:tc>
        <w:tc>
          <w:tcPr>
            <w:tcW w:w="9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(972,344)</w:t>
            </w:r>
          </w:p>
        </w:tc>
        <w:tc>
          <w:tcPr>
            <w:tcW w:w="90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(441,954)</w:t>
            </w:r>
          </w:p>
        </w:tc>
        <w:tc>
          <w:tcPr>
            <w:tcW w:w="860" w:type="dxa"/>
            <w:vAlign w:val="bottom"/>
            <w:tcBorders>
              <w:right w:val="single" w:sz="8" w:color="CCFFCC"/>
            </w:tcBorders>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(363,884)</w:t>
            </w:r>
          </w:p>
        </w:tc>
        <w:tc>
          <w:tcPr>
            <w:tcW w:w="7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(50,142)</w:t>
            </w:r>
          </w:p>
        </w:tc>
        <w:tc>
          <w:tcPr>
            <w:tcW w:w="82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(855,980)</w:t>
            </w:r>
          </w:p>
        </w:tc>
      </w:tr>
      <w:tr>
        <w:trPr>
          <w:trHeight w:val="27"/>
        </w:trPr>
        <w:tc>
          <w:tcPr>
            <w:tcW w:w="324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FFC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r>
      <w:tr>
        <w:trPr>
          <w:trHeight w:val="135"/>
        </w:trPr>
        <w:tc>
          <w:tcPr>
            <w:tcW w:w="324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(15,107,050)</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(9,554,052)</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(821,827)</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(25,482,929)</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(12,082,277)</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9"/>
              </w:rPr>
              <w:t>(6,728,601)</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(699,402)</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(19,510,280)</w:t>
            </w:r>
          </w:p>
        </w:tc>
      </w:tr>
      <w:tr>
        <w:trPr>
          <w:trHeight w:val="27"/>
        </w:trPr>
        <w:tc>
          <w:tcPr>
            <w:tcW w:w="3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2"/>
        </w:trPr>
        <w:tc>
          <w:tcPr>
            <w:tcW w:w="324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(332,626)</w:t>
            </w:r>
          </w:p>
        </w:tc>
        <w:tc>
          <w:tcPr>
            <w:tcW w:w="6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2,264,969</w:t>
            </w:r>
          </w:p>
        </w:tc>
        <w:tc>
          <w:tcPr>
            <w:tcW w:w="18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157,897</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2,090,240</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642,103</w:t>
            </w:r>
          </w:p>
        </w:tc>
        <w:tc>
          <w:tcPr>
            <w:tcW w:w="860" w:type="dxa"/>
            <w:vAlign w:val="bottom"/>
            <w:tcBorders>
              <w:right w:val="single" w:sz="8" w:color="CCFFCC"/>
            </w:tcBorders>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651,914</w:t>
            </w:r>
          </w:p>
        </w:tc>
        <w:tc>
          <w:tcPr>
            <w:tcW w:w="7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492,645</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1,786,662</w:t>
            </w:r>
          </w:p>
        </w:tc>
        <w:tc>
          <w:tcPr>
            <w:tcW w:w="100" w:type="dxa"/>
            <w:vAlign w:val="bottom"/>
            <w:shd w:val="clear" w:color="auto" w:fill="CCFFCC"/>
          </w:tcPr>
          <w:p>
            <w:pPr>
              <w:spacing w:after="0"/>
              <w:rPr>
                <w:sz w:val="12"/>
                <w:szCs w:val="12"/>
                <w:color w:val="auto"/>
              </w:rPr>
            </w:pPr>
          </w:p>
        </w:tc>
      </w:tr>
      <w:tr>
        <w:trPr>
          <w:trHeight w:val="135"/>
        </w:trPr>
        <w:tc>
          <w:tcPr>
            <w:tcW w:w="3240" w:type="dxa"/>
            <w:vAlign w:val="bottom"/>
            <w:tcBorders>
              <w:top w:val="single" w:sz="8" w:color="CCFFC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CCFFC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CFFC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CFFC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Forwards position, net</w:t>
            </w:r>
          </w:p>
        </w:tc>
        <w:tc>
          <w:tcPr>
            <w:tcW w:w="7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956,279</w:t>
            </w:r>
          </w:p>
        </w:tc>
        <w:tc>
          <w:tcPr>
            <w:tcW w:w="20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(951,426)</w:t>
            </w:r>
          </w:p>
        </w:tc>
        <w:tc>
          <w:tcPr>
            <w:tcW w:w="7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(4,853)</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265,114</w:t>
            </w:r>
          </w:p>
        </w:tc>
        <w:tc>
          <w:tcPr>
            <w:tcW w:w="200" w:type="dxa"/>
            <w:vAlign w:val="bottom"/>
            <w:shd w:val="clear" w:color="auto" w:fill="CCFFCC"/>
          </w:tcPr>
          <w:p>
            <w:pPr>
              <w:spacing w:after="0"/>
              <w:rPr>
                <w:sz w:val="11"/>
                <w:szCs w:val="11"/>
                <w:color w:val="auto"/>
              </w:rPr>
            </w:pPr>
          </w:p>
        </w:tc>
        <w:tc>
          <w:tcPr>
            <w:tcW w:w="860" w:type="dxa"/>
            <w:vAlign w:val="bottom"/>
            <w:tcBorders>
              <w:right w:val="single" w:sz="8" w:color="CCFFCC"/>
            </w:tcBorders>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(198,637)</w:t>
            </w:r>
          </w:p>
        </w:tc>
        <w:tc>
          <w:tcPr>
            <w:tcW w:w="7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(66,477)</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Currency swaps position, net</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(222,854)</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222,854</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(142,015)</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183,598</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(41,583)</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Cross currency swaps position, net</w:t>
            </w:r>
          </w:p>
        </w:tc>
        <w:tc>
          <w:tcPr>
            <w:tcW w:w="9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(252,912)</w:t>
            </w:r>
          </w:p>
        </w:tc>
        <w:tc>
          <w:tcPr>
            <w:tcW w:w="8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129,050</w:t>
            </w:r>
          </w:p>
        </w:tc>
        <w:tc>
          <w:tcPr>
            <w:tcW w:w="7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123,862</w:t>
            </w:r>
          </w:p>
        </w:tc>
        <w:tc>
          <w:tcPr>
            <w:tcW w:w="9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77,768</w:t>
            </w:r>
          </w:p>
        </w:tc>
        <w:tc>
          <w:tcPr>
            <w:tcW w:w="860" w:type="dxa"/>
            <w:vAlign w:val="bottom"/>
            <w:tcBorders>
              <w:right w:val="single" w:sz="8" w:color="CCFFCC"/>
            </w:tcBorders>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129,049</w:t>
            </w:r>
          </w:p>
        </w:tc>
        <w:tc>
          <w:tcPr>
            <w:tcW w:w="7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(206,817)</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2"/>
        </w:trPr>
        <w:tc>
          <w:tcPr>
            <w:tcW w:w="3240" w:type="dxa"/>
            <w:vAlign w:val="bottom"/>
          </w:tcPr>
          <w:p>
            <w:pPr>
              <w:spacing w:after="0" w:line="135" w:lineRule="exact"/>
              <w:rPr>
                <w:sz w:val="20"/>
                <w:szCs w:val="20"/>
                <w:color w:val="auto"/>
              </w:rPr>
            </w:pPr>
            <w:r>
              <w:rPr>
                <w:rFonts w:ascii="Arial" w:cs="Arial" w:eastAsia="Arial" w:hAnsi="Arial"/>
                <w:sz w:val="13"/>
                <w:szCs w:val="13"/>
                <w:color w:val="auto"/>
              </w:rPr>
              <w:t>Options, net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25,561</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(25,561)</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(3,711)</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3,711</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4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220" w:type="dxa"/>
            <w:vAlign w:val="bottom"/>
            <w:tcBorders>
              <w:right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3"/>
                <w:szCs w:val="13"/>
                <w:b w:val="1"/>
                <w:bCs w:val="1"/>
                <w:color w:val="auto"/>
              </w:rPr>
              <w:t>Net monetary position</w:t>
            </w:r>
          </w:p>
        </w:tc>
        <w:tc>
          <w:tcPr>
            <w:tcW w:w="720" w:type="dxa"/>
            <w:vAlign w:val="bottom"/>
          </w:tcPr>
          <w:p>
            <w:pPr>
              <w:jc w:val="right"/>
              <w:spacing w:after="0"/>
              <w:rPr>
                <w:sz w:val="20"/>
                <w:szCs w:val="20"/>
                <w:color w:val="auto"/>
              </w:rPr>
            </w:pPr>
            <w:r>
              <w:rPr>
                <w:rFonts w:ascii="Arial" w:cs="Arial" w:eastAsia="Arial" w:hAnsi="Arial"/>
                <w:sz w:val="13"/>
                <w:szCs w:val="13"/>
                <w:color w:val="auto"/>
              </w:rPr>
              <w:t>173,448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1,639,886</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276,906</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2,090,240</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839,259</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769,635</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177,768</w:t>
            </w:r>
          </w:p>
        </w:tc>
        <w:tc>
          <w:tcPr>
            <w:tcW w:w="720" w:type="dxa"/>
            <w:vAlign w:val="bottom"/>
          </w:tcPr>
          <w:p>
            <w:pPr>
              <w:jc w:val="right"/>
              <w:spacing w:after="0"/>
              <w:rPr>
                <w:sz w:val="20"/>
                <w:szCs w:val="20"/>
                <w:color w:val="auto"/>
              </w:rPr>
            </w:pPr>
            <w:r>
              <w:rPr>
                <w:rFonts w:ascii="Arial" w:cs="Arial" w:eastAsia="Arial" w:hAnsi="Arial"/>
                <w:sz w:val="13"/>
                <w:szCs w:val="13"/>
                <w:color w:val="auto"/>
              </w:rPr>
              <w:t>1,786,662</w:t>
            </w:r>
          </w:p>
        </w:tc>
        <w:tc>
          <w:tcPr>
            <w:tcW w:w="100" w:type="dxa"/>
            <w:vAlign w:val="bottom"/>
          </w:tcPr>
          <w:p>
            <w:pPr>
              <w:spacing w:after="0"/>
              <w:rPr>
                <w:sz w:val="18"/>
                <w:szCs w:val="18"/>
                <w:color w:val="auto"/>
              </w:rPr>
            </w:pPr>
          </w:p>
        </w:tc>
      </w:tr>
      <w:tr>
        <w:trPr>
          <w:trHeight w:val="21"/>
        </w:trPr>
        <w:tc>
          <w:tcPr>
            <w:tcW w:w="3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80"/>
        <w:spacing w:after="0" w:line="255" w:lineRule="auto"/>
        <w:rPr>
          <w:sz w:val="20"/>
          <w:szCs w:val="20"/>
          <w:color w:val="auto"/>
        </w:rPr>
      </w:pPr>
      <w:r>
        <w:rPr>
          <w:rFonts w:ascii="Arial" w:cs="Arial" w:eastAsia="Arial" w:hAnsi="Arial"/>
          <w:sz w:val="18"/>
          <w:szCs w:val="18"/>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positively the Group’s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89" w:lineRule="exact"/>
        <w:rPr>
          <w:sz w:val="20"/>
          <w:szCs w:val="20"/>
          <w:color w:val="auto"/>
        </w:rPr>
      </w:pPr>
    </w:p>
    <w:p>
      <w:pPr>
        <w:ind w:left="162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Dollars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87" w:lineRule="exact"/>
        <w:rPr>
          <w:sz w:val="20"/>
          <w:szCs w:val="20"/>
          <w:color w:val="auto"/>
        </w:rPr>
      </w:pPr>
    </w:p>
    <w:p>
      <w:pPr>
        <w:ind w:left="1620" w:right="80"/>
        <w:spacing w:after="0" w:line="276" w:lineRule="auto"/>
        <w:rPr>
          <w:sz w:val="20"/>
          <w:szCs w:val="20"/>
          <w:color w:val="auto"/>
        </w:rPr>
      </w:pPr>
      <w:r>
        <w:rPr>
          <w:rFonts w:ascii="Arial" w:cs="Arial" w:eastAsia="Arial" w:hAnsi="Arial"/>
          <w:sz w:val="17"/>
          <w:szCs w:val="17"/>
          <w:color w:val="auto"/>
        </w:rPr>
        <w:t>The table below shows the sensitivity analysis of the Peruvian Currency, the currency to which the Group had significant exposure as of December 31, 2010 and 2009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169"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Change in</w:t>
      </w:r>
    </w:p>
    <w:p>
      <w:pPr>
        <w:spacing w:after="0" w:line="27" w:lineRule="exact"/>
        <w:rPr>
          <w:sz w:val="20"/>
          <w:szCs w:val="20"/>
          <w:color w:val="auto"/>
        </w:rPr>
      </w:pPr>
    </w:p>
    <w:p>
      <w:pPr>
        <w:ind w:left="1620"/>
        <w:spacing w:after="0"/>
        <w:tabs>
          <w:tab w:leader="none" w:pos="6460" w:val="left"/>
          <w:tab w:leader="none" w:pos="7900" w:val="left"/>
          <w:tab w:leader="none" w:pos="8800" w:val="left"/>
        </w:tabs>
        <w:rPr>
          <w:sz w:val="20"/>
          <w:szCs w:val="20"/>
          <w:color w:val="auto"/>
        </w:rPr>
      </w:pPr>
      <w:r>
        <w:rPr>
          <w:rFonts w:ascii="Arial" w:cs="Arial" w:eastAsia="Arial" w:hAnsi="Arial"/>
          <w:sz w:val="18"/>
          <w:szCs w:val="18"/>
          <w:b w:val="1"/>
          <w:bCs w:val="1"/>
          <w:color w:val="auto"/>
        </w:rPr>
        <w:t>Sensitivity Analysis</w:t>
      </w:r>
      <w:r>
        <w:rPr>
          <w:sz w:val="20"/>
          <w:szCs w:val="20"/>
          <w:color w:val="auto"/>
        </w:rPr>
        <w:tab/>
      </w:r>
      <w:r>
        <w:rPr>
          <w:rFonts w:ascii="Arial" w:cs="Arial" w:eastAsia="Arial" w:hAnsi="Arial"/>
          <w:sz w:val="18"/>
          <w:szCs w:val="18"/>
          <w:b w:val="1"/>
          <w:bCs w:val="1"/>
          <w:color w:val="auto"/>
        </w:rPr>
        <w:t>currency rates</w:t>
      </w:r>
      <w:r>
        <w:rPr>
          <w:sz w:val="20"/>
          <w:szCs w:val="20"/>
          <w:color w:val="auto"/>
        </w:rPr>
        <w:tab/>
      </w:r>
      <w:r>
        <w:rPr>
          <w:rFonts w:ascii="Arial" w:cs="Arial" w:eastAsia="Arial" w:hAnsi="Arial"/>
          <w:sz w:val="18"/>
          <w:szCs w:val="18"/>
          <w:b w:val="1"/>
          <w:bCs w:val="1"/>
          <w:color w:val="auto"/>
        </w:rPr>
        <w:t>2010</w:t>
      </w:r>
      <w:r>
        <w:rPr>
          <w:sz w:val="20"/>
          <w:szCs w:val="20"/>
          <w:color w:val="auto"/>
        </w:rPr>
        <w:tab/>
      </w:r>
      <w:r>
        <w:rPr>
          <w:rFonts w:ascii="Arial" w:cs="Arial" w:eastAsia="Arial" w:hAnsi="Arial"/>
          <w:sz w:val="16"/>
          <w:szCs w:val="16"/>
          <w:b w:val="1"/>
          <w:bCs w:val="1"/>
          <w:color w:val="auto"/>
        </w:rPr>
        <w:t>2009</w:t>
      </w:r>
    </w:p>
    <w:p>
      <w:pPr>
        <w:spacing w:after="0" w:line="9" w:lineRule="exact"/>
        <w:rPr>
          <w:sz w:val="20"/>
          <w:szCs w:val="20"/>
          <w:color w:val="auto"/>
        </w:rPr>
      </w:pPr>
    </w:p>
    <w:p>
      <w:pPr>
        <w:ind w:left="6960"/>
        <w:spacing w:after="0"/>
        <w:tabs>
          <w:tab w:leader="none" w:pos="7720" w:val="left"/>
          <w:tab w:leader="none" w:pos="8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2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25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(86,310)</w:t>
            </w:r>
          </w:p>
        </w:tc>
        <w:tc>
          <w:tcPr>
            <w:tcW w:w="760" w:type="dxa"/>
            <w:vAlign w:val="bottom"/>
          </w:tcPr>
          <w:p>
            <w:pPr>
              <w:jc w:val="right"/>
              <w:spacing w:after="0"/>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5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(182,210)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25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Peruvian Currency</w:t>
            </w:r>
          </w:p>
        </w:tc>
        <w:tc>
          <w:tcPr>
            <w:tcW w:w="25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78,090</w:t>
            </w:r>
          </w:p>
        </w:tc>
        <w:tc>
          <w:tcPr>
            <w:tcW w:w="760" w:type="dxa"/>
            <w:vAlign w:val="bottom"/>
          </w:tcPr>
          <w:p>
            <w:pPr>
              <w:jc w:val="right"/>
              <w:spacing w:after="0"/>
              <w:rPr>
                <w:sz w:val="20"/>
                <w:szCs w:val="20"/>
                <w:color w:val="auto"/>
              </w:rPr>
            </w:pPr>
            <w:r>
              <w:rPr>
                <w:rFonts w:ascii="Arial" w:cs="Arial" w:eastAsia="Arial" w:hAnsi="Arial"/>
                <w:sz w:val="18"/>
                <w:szCs w:val="18"/>
                <w:color w:val="auto"/>
              </w:rPr>
              <w:t>36,649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5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149,081</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69,967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29.3.  Liquidity risk -</w:t>
      </w:r>
    </w:p>
    <w:p>
      <w:pPr>
        <w:spacing w:after="0" w:line="27" w:lineRule="exact"/>
        <w:rPr>
          <w:sz w:val="20"/>
          <w:szCs w:val="20"/>
          <w:color w:val="auto"/>
        </w:rPr>
      </w:pPr>
    </w:p>
    <w:p>
      <w:pPr>
        <w:ind w:left="500" w:right="180"/>
        <w:spacing w:after="0" w:line="255"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3" w:right="31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178" w:lineRule="exact"/>
        <w:rPr>
          <w:sz w:val="20"/>
          <w:szCs w:val="20"/>
          <w:color w:val="auto"/>
        </w:rPr>
      </w:pPr>
    </w:p>
    <w:p>
      <w:pPr>
        <w:jc w:val="both"/>
        <w:ind w:left="500" w:right="720"/>
        <w:spacing w:after="0" w:line="286" w:lineRule="auto"/>
        <w:rPr>
          <w:sz w:val="20"/>
          <w:szCs w:val="20"/>
          <w:color w:val="auto"/>
        </w:rPr>
      </w:pPr>
      <w:r>
        <w:rPr>
          <w:rFonts w:ascii="Arial" w:cs="Arial" w:eastAsia="Arial" w:hAnsi="Arial"/>
          <w:sz w:val="17"/>
          <w:szCs w:val="17"/>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66"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70" w:lineRule="exact"/>
        <w:rPr>
          <w:sz w:val="20"/>
          <w:szCs w:val="20"/>
          <w:color w:val="auto"/>
        </w:rPr>
      </w:pPr>
    </w:p>
    <w:p>
      <w:pPr>
        <w:ind w:left="500" w:right="10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187" w:lineRule="exact"/>
        <w:rPr>
          <w:sz w:val="20"/>
          <w:szCs w:val="20"/>
          <w:color w:val="auto"/>
        </w:rPr>
      </w:pPr>
    </w:p>
    <w:p>
      <w:pPr>
        <w:ind w:left="500" w:right="200"/>
        <w:spacing w:after="0" w:line="279" w:lineRule="auto"/>
        <w:rPr>
          <w:sz w:val="20"/>
          <w:szCs w:val="20"/>
          <w:color w:val="auto"/>
        </w:rPr>
      </w:pPr>
      <w:r>
        <w:rPr>
          <w:rFonts w:ascii="Arial" w:cs="Arial" w:eastAsia="Arial" w:hAnsi="Arial"/>
          <w:sz w:val="17"/>
          <w:szCs w:val="17"/>
          <w:color w:val="auto"/>
        </w:rPr>
        <w:t>A maturity mismatch, long-term illiquid assets against short-term liabilities, exposes the consolidated statements of financial position to risks related both to rollover and to interest rates. If liquid assets do not cover maturing debts; a consolidated statements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statements of financial position. The amounts disclosed in the table are the contractual undiscounted cash flows:</w:t>
      </w:r>
    </w:p>
    <w:p>
      <w:pPr>
        <w:spacing w:after="0" w:line="242" w:lineRule="exact"/>
        <w:rPr>
          <w:sz w:val="20"/>
          <w:szCs w:val="20"/>
          <w:color w:val="auto"/>
        </w:rPr>
      </w:pPr>
    </w:p>
    <w:tbl>
      <w:tblPr>
        <w:tblLayout w:type="fixed"/>
        <w:tblInd w:w="5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w w:val="97"/>
              </w:rPr>
              <w:t>As of December 31, 2010</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w w:val="95"/>
              </w:rPr>
              <w:t>As of December 31, 2009</w:t>
            </w: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120" w:type="dxa"/>
            <w:vAlign w:val="bottom"/>
          </w:tcPr>
          <w:p>
            <w:pPr>
              <w:spacing w:after="0"/>
              <w:rPr>
                <w:sz w:val="9"/>
                <w:szCs w:val="9"/>
                <w:color w:val="auto"/>
              </w:rPr>
            </w:pPr>
          </w:p>
        </w:tc>
        <w:tc>
          <w:tcPr>
            <w:tcW w:w="7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From 3 to 12</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From 1 to 3</w:t>
            </w:r>
          </w:p>
        </w:tc>
        <w:tc>
          <w:tcPr>
            <w:tcW w:w="120" w:type="dxa"/>
            <w:vAlign w:val="bottom"/>
          </w:tcPr>
          <w:p>
            <w:pPr>
              <w:spacing w:after="0"/>
              <w:rPr>
                <w:sz w:val="9"/>
                <w:szCs w:val="9"/>
                <w:color w:val="auto"/>
              </w:rPr>
            </w:pPr>
          </w:p>
        </w:tc>
        <w:tc>
          <w:tcPr>
            <w:tcW w:w="7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From 3 to 12</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9"/>
              </w:rPr>
              <w:t>Up to a month</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85"/>
              </w:rPr>
              <w:t>From 1 to 5 years</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Over 5 years</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3"/>
              </w:rPr>
              <w:t>Total</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1"/>
              </w:rPr>
              <w:t>Up to a month</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months</w:t>
            </w: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9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5"/>
              </w:rPr>
              <w:t>From 1 to 5 years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4"/>
              </w:rPr>
              <w:t>Over 5 years</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92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2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8"/>
              </w:rPr>
              <w:t>Deposits and obligations</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6,621,322</w:t>
            </w: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1,632,975</w:t>
            </w:r>
          </w:p>
        </w:tc>
        <w:tc>
          <w:tcPr>
            <w:tcW w:w="8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7,261,138</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2,472,914</w:t>
            </w:r>
          </w:p>
        </w:tc>
        <w:tc>
          <w:tcPr>
            <w:tcW w:w="8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101,295</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4"/>
              </w:rPr>
              <w:t>18,089,644</w:t>
            </w:r>
          </w:p>
        </w:tc>
        <w:tc>
          <w:tcPr>
            <w:tcW w:w="8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4,100,737</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1,589,588</w:t>
            </w:r>
          </w:p>
        </w:tc>
        <w:tc>
          <w:tcPr>
            <w:tcW w:w="8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6,375,635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2,071,812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119,360</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4"/>
              </w:rPr>
              <w:t>14,257,132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Due to bank and</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40"/>
              <w:spacing w:after="0"/>
              <w:rPr>
                <w:sz w:val="20"/>
                <w:szCs w:val="20"/>
                <w:color w:val="auto"/>
              </w:rPr>
            </w:pPr>
            <w:r>
              <w:rPr>
                <w:rFonts w:ascii="Arial" w:cs="Arial" w:eastAsia="Arial" w:hAnsi="Arial"/>
                <w:sz w:val="11"/>
                <w:szCs w:val="11"/>
                <w:color w:val="auto"/>
              </w:rPr>
              <w:t>correspondents</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461,395</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435,312</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448,035</w:t>
            </w:r>
          </w:p>
        </w:tc>
        <w:tc>
          <w:tcPr>
            <w:tcW w:w="800" w:type="dxa"/>
            <w:vAlign w:val="bottom"/>
          </w:tcPr>
          <w:p>
            <w:pPr>
              <w:jc w:val="right"/>
              <w:spacing w:after="0"/>
              <w:rPr>
                <w:sz w:val="20"/>
                <w:szCs w:val="20"/>
                <w:color w:val="auto"/>
              </w:rPr>
            </w:pPr>
            <w:r>
              <w:rPr>
                <w:rFonts w:ascii="Arial" w:cs="Arial" w:eastAsia="Arial" w:hAnsi="Arial"/>
                <w:sz w:val="11"/>
                <w:szCs w:val="11"/>
                <w:color w:val="auto"/>
              </w:rPr>
              <w:t>1,021,677</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125,798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2,492,217</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373,946</w:t>
            </w:r>
          </w:p>
        </w:tc>
        <w:tc>
          <w:tcPr>
            <w:tcW w:w="560" w:type="dxa"/>
            <w:vAlign w:val="bottom"/>
          </w:tcPr>
          <w:p>
            <w:pPr>
              <w:jc w:val="right"/>
              <w:spacing w:after="0"/>
              <w:rPr>
                <w:sz w:val="20"/>
                <w:szCs w:val="20"/>
                <w:color w:val="auto"/>
              </w:rPr>
            </w:pPr>
            <w:r>
              <w:rPr>
                <w:rFonts w:ascii="Arial" w:cs="Arial" w:eastAsia="Arial" w:hAnsi="Arial"/>
                <w:sz w:val="11"/>
                <w:szCs w:val="11"/>
                <w:color w:val="auto"/>
              </w:rPr>
              <w:t>344,838</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264,763</w:t>
            </w:r>
          </w:p>
        </w:tc>
        <w:tc>
          <w:tcPr>
            <w:tcW w:w="800" w:type="dxa"/>
            <w:vAlign w:val="bottom"/>
          </w:tcPr>
          <w:p>
            <w:pPr>
              <w:jc w:val="right"/>
              <w:spacing w:after="0"/>
              <w:rPr>
                <w:sz w:val="20"/>
                <w:szCs w:val="20"/>
                <w:color w:val="auto"/>
              </w:rPr>
            </w:pPr>
            <w:r>
              <w:rPr>
                <w:rFonts w:ascii="Arial" w:cs="Arial" w:eastAsia="Arial" w:hAnsi="Arial"/>
                <w:sz w:val="11"/>
                <w:szCs w:val="11"/>
                <w:color w:val="auto"/>
              </w:rPr>
              <w:t>433,355</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144,229</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1,561,131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Accounts payable to</w:t>
            </w:r>
          </w:p>
        </w:tc>
        <w:tc>
          <w:tcPr>
            <w:tcW w:w="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shd w:val="clear" w:color="auto" w:fill="CCFFCC"/>
          </w:tcPr>
          <w:p>
            <w:pPr>
              <w:ind w:left="140"/>
              <w:spacing w:after="0"/>
              <w:rPr>
                <w:sz w:val="20"/>
                <w:szCs w:val="20"/>
                <w:color w:val="auto"/>
              </w:rPr>
            </w:pPr>
            <w:r>
              <w:rPr>
                <w:rFonts w:ascii="Arial" w:cs="Arial" w:eastAsia="Arial" w:hAnsi="Arial"/>
                <w:sz w:val="11"/>
                <w:szCs w:val="11"/>
                <w:color w:val="auto"/>
                <w:w w:val="87"/>
              </w:rPr>
              <w:t>reinsurer and coinsurers</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13,164</w:t>
            </w:r>
          </w:p>
        </w:tc>
        <w:tc>
          <w:tcPr>
            <w:tcW w:w="10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22,616</w:t>
            </w:r>
          </w:p>
        </w:tc>
        <w:tc>
          <w:tcPr>
            <w:tcW w:w="82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17,858</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7,137</w:t>
            </w:r>
          </w:p>
        </w:tc>
        <w:tc>
          <w:tcPr>
            <w:tcW w:w="82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60,775</w:t>
            </w:r>
          </w:p>
        </w:tc>
        <w:tc>
          <w:tcPr>
            <w:tcW w:w="82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6,894</w:t>
            </w:r>
          </w:p>
        </w:tc>
        <w:tc>
          <w:tcPr>
            <w:tcW w:w="5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31,231</w:t>
            </w:r>
          </w:p>
        </w:tc>
        <w:tc>
          <w:tcPr>
            <w:tcW w:w="82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9,884</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48,009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87"/>
              </w:rPr>
              <w:t>Technical, insurance claims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40"/>
              <w:spacing w:after="0" w:line="122" w:lineRule="exact"/>
              <w:rPr>
                <w:sz w:val="20"/>
                <w:szCs w:val="20"/>
                <w:color w:val="auto"/>
              </w:rPr>
            </w:pPr>
            <w:r>
              <w:rPr>
                <w:rFonts w:ascii="Arial" w:cs="Arial" w:eastAsia="Arial" w:hAnsi="Arial"/>
                <w:sz w:val="11"/>
                <w:szCs w:val="11"/>
                <w:color w:val="auto"/>
                <w:w w:val="95"/>
              </w:rPr>
              <w:t>reserves and reserves</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40"/>
              <w:spacing w:after="0"/>
              <w:rPr>
                <w:sz w:val="20"/>
                <w:szCs w:val="20"/>
                <w:color w:val="auto"/>
              </w:rPr>
            </w:pPr>
            <w:r>
              <w:rPr>
                <w:rFonts w:ascii="Arial" w:cs="Arial" w:eastAsia="Arial" w:hAnsi="Arial"/>
                <w:sz w:val="11"/>
                <w:szCs w:val="11"/>
                <w:color w:val="auto"/>
                <w:w w:val="91"/>
              </w:rPr>
              <w:t>for unearned premiums</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95,367</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99,823</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328,704</w:t>
            </w:r>
          </w:p>
        </w:tc>
        <w:tc>
          <w:tcPr>
            <w:tcW w:w="800" w:type="dxa"/>
            <w:vAlign w:val="bottom"/>
          </w:tcPr>
          <w:p>
            <w:pPr>
              <w:jc w:val="right"/>
              <w:spacing w:after="0"/>
              <w:rPr>
                <w:sz w:val="20"/>
                <w:szCs w:val="20"/>
                <w:color w:val="auto"/>
              </w:rPr>
            </w:pPr>
            <w:r>
              <w:rPr>
                <w:rFonts w:ascii="Arial" w:cs="Arial" w:eastAsia="Arial" w:hAnsi="Arial"/>
                <w:sz w:val="11"/>
                <w:szCs w:val="11"/>
                <w:color w:val="auto"/>
              </w:rPr>
              <w:t>249,394</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780,915</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1,554,203</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61,464</w:t>
            </w:r>
          </w:p>
        </w:tc>
        <w:tc>
          <w:tcPr>
            <w:tcW w:w="560" w:type="dxa"/>
            <w:vAlign w:val="bottom"/>
          </w:tcPr>
          <w:p>
            <w:pPr>
              <w:jc w:val="right"/>
              <w:spacing w:after="0"/>
              <w:rPr>
                <w:sz w:val="20"/>
                <w:szCs w:val="20"/>
                <w:color w:val="auto"/>
              </w:rPr>
            </w:pPr>
            <w:r>
              <w:rPr>
                <w:rFonts w:ascii="Arial" w:cs="Arial" w:eastAsia="Arial" w:hAnsi="Arial"/>
                <w:sz w:val="11"/>
                <w:szCs w:val="11"/>
                <w:color w:val="auto"/>
              </w:rPr>
              <w:t>112,548</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266,121</w:t>
            </w:r>
          </w:p>
        </w:tc>
        <w:tc>
          <w:tcPr>
            <w:tcW w:w="800" w:type="dxa"/>
            <w:vAlign w:val="bottom"/>
          </w:tcPr>
          <w:p>
            <w:pPr>
              <w:jc w:val="right"/>
              <w:spacing w:after="0"/>
              <w:rPr>
                <w:sz w:val="20"/>
                <w:szCs w:val="20"/>
                <w:color w:val="auto"/>
              </w:rPr>
            </w:pPr>
            <w:r>
              <w:rPr>
                <w:rFonts w:ascii="Arial" w:cs="Arial" w:eastAsia="Arial" w:hAnsi="Arial"/>
                <w:sz w:val="11"/>
                <w:szCs w:val="11"/>
                <w:color w:val="auto"/>
              </w:rPr>
              <w:t>210,524</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630,396</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1,281,053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notes issued</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185,574</w:t>
            </w:r>
          </w:p>
        </w:tc>
        <w:tc>
          <w:tcPr>
            <w:tcW w:w="10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108,294</w:t>
            </w:r>
          </w:p>
        </w:tc>
        <w:tc>
          <w:tcPr>
            <w:tcW w:w="8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408,510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1,371,600</w:t>
            </w:r>
          </w:p>
        </w:tc>
        <w:tc>
          <w:tcPr>
            <w:tcW w:w="8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2,222,598</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4,296,576</w:t>
            </w:r>
          </w:p>
        </w:tc>
        <w:tc>
          <w:tcPr>
            <w:tcW w:w="8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21,921</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47,035</w:t>
            </w:r>
          </w:p>
        </w:tc>
        <w:tc>
          <w:tcPr>
            <w:tcW w:w="82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315,020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1,602,072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1,228,293</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3,214,341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466,002</w:t>
            </w:r>
          </w:p>
        </w:tc>
        <w:tc>
          <w:tcPr>
            <w:tcW w:w="100" w:type="dxa"/>
            <w:vAlign w:val="bottom"/>
          </w:tcPr>
          <w:p>
            <w:pPr>
              <w:spacing w:after="0"/>
              <w:rPr>
                <w:sz w:val="11"/>
                <w:szCs w:val="11"/>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120,533</w:t>
            </w:r>
          </w:p>
        </w:tc>
        <w:tc>
          <w:tcPr>
            <w:tcW w:w="82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41,496</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76,201</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1,665</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705,897</w:t>
            </w:r>
          </w:p>
        </w:tc>
        <w:tc>
          <w:tcPr>
            <w:tcW w:w="82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451,510</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23,492</w:t>
            </w:r>
          </w:p>
        </w:tc>
        <w:tc>
          <w:tcPr>
            <w:tcW w:w="82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86,330</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100,055</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17,150</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678,537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00" w:type="dxa"/>
            <w:vAlign w:val="bottom"/>
          </w:tcPr>
          <w:p>
            <w:pPr>
              <w:spacing w:after="0"/>
              <w:rPr>
                <w:sz w:val="20"/>
                <w:szCs w:val="20"/>
                <w:color w:val="auto"/>
              </w:rPr>
            </w:pPr>
            <w:r>
              <w:rPr>
                <w:rFonts w:ascii="Arial" w:cs="Arial" w:eastAsia="Arial" w:hAnsi="Arial"/>
                <w:sz w:val="11"/>
                <w:szCs w:val="11"/>
                <w:b w:val="1"/>
                <w:bCs w:val="1"/>
                <w:color w:val="auto"/>
              </w:rPr>
              <w:t>Total liabilities</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7,842,824</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2,419,553</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8,505,741</w:t>
            </w:r>
          </w:p>
        </w:tc>
        <w:tc>
          <w:tcPr>
            <w:tcW w:w="800" w:type="dxa"/>
            <w:vAlign w:val="bottom"/>
          </w:tcPr>
          <w:p>
            <w:pPr>
              <w:jc w:val="right"/>
              <w:spacing w:after="0"/>
              <w:rPr>
                <w:sz w:val="20"/>
                <w:szCs w:val="20"/>
                <w:color w:val="auto"/>
              </w:rPr>
            </w:pPr>
            <w:r>
              <w:rPr>
                <w:rFonts w:ascii="Arial" w:cs="Arial" w:eastAsia="Arial" w:hAnsi="Arial"/>
                <w:sz w:val="11"/>
                <w:szCs w:val="11"/>
                <w:color w:val="auto"/>
              </w:rPr>
              <w:t>5,198,923</w:t>
            </w:r>
          </w:p>
        </w:tc>
        <w:tc>
          <w:tcPr>
            <w:tcW w:w="820" w:type="dxa"/>
            <w:vAlign w:val="bottom"/>
            <w:gridSpan w:val="3"/>
          </w:tcPr>
          <w:p>
            <w:pPr>
              <w:jc w:val="right"/>
              <w:ind w:right="100"/>
              <w:spacing w:after="0"/>
              <w:rPr>
                <w:sz w:val="20"/>
                <w:szCs w:val="20"/>
                <w:color w:val="auto"/>
              </w:rPr>
            </w:pPr>
            <w:r>
              <w:rPr>
                <w:rFonts w:ascii="Arial" w:cs="Arial" w:eastAsia="Arial" w:hAnsi="Arial"/>
                <w:sz w:val="11"/>
                <w:szCs w:val="11"/>
                <w:color w:val="auto"/>
              </w:rPr>
              <w:t>3,232,271</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27,199,312</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5,016,472</w:t>
            </w:r>
          </w:p>
        </w:tc>
        <w:tc>
          <w:tcPr>
            <w:tcW w:w="560" w:type="dxa"/>
            <w:vAlign w:val="bottom"/>
          </w:tcPr>
          <w:p>
            <w:pPr>
              <w:jc w:val="right"/>
              <w:spacing w:after="0"/>
              <w:rPr>
                <w:sz w:val="20"/>
                <w:szCs w:val="20"/>
                <w:color w:val="auto"/>
              </w:rPr>
            </w:pPr>
            <w:r>
              <w:rPr>
                <w:rFonts w:ascii="Arial" w:cs="Arial" w:eastAsia="Arial" w:hAnsi="Arial"/>
                <w:sz w:val="11"/>
                <w:szCs w:val="11"/>
                <w:color w:val="auto"/>
              </w:rPr>
              <w:t>2,148,732</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color w:val="auto"/>
              </w:rPr>
              <w:t>7,317,753</w:t>
            </w:r>
          </w:p>
        </w:tc>
        <w:tc>
          <w:tcPr>
            <w:tcW w:w="800" w:type="dxa"/>
            <w:vAlign w:val="bottom"/>
          </w:tcPr>
          <w:p>
            <w:pPr>
              <w:jc w:val="right"/>
              <w:spacing w:after="0"/>
              <w:rPr>
                <w:sz w:val="20"/>
                <w:szCs w:val="20"/>
                <w:color w:val="auto"/>
              </w:rPr>
            </w:pPr>
            <w:r>
              <w:rPr>
                <w:rFonts w:ascii="Arial" w:cs="Arial" w:eastAsia="Arial" w:hAnsi="Arial"/>
                <w:sz w:val="11"/>
                <w:szCs w:val="11"/>
                <w:color w:val="auto"/>
              </w:rPr>
              <w:t>4,417,818</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2,139,428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21,040,203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shows the contractual maturity of the Group’s contingent credits at the date of the consolidated statements of financial position:</w:t>
      </w: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142"/>
        </w:trPr>
        <w:tc>
          <w:tcPr>
            <w:tcW w:w="12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w w:val="95"/>
              </w:rPr>
              <w:t>As of December 31, 2010</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ind w:left="140"/>
              <w:spacing w:after="0"/>
              <w:rPr>
                <w:sz w:val="20"/>
                <w:szCs w:val="20"/>
                <w:color w:val="auto"/>
              </w:rPr>
            </w:pPr>
            <w:r>
              <w:rPr>
                <w:rFonts w:ascii="Arial" w:cs="Arial" w:eastAsia="Arial" w:hAnsi="Arial"/>
                <w:sz w:val="11"/>
                <w:szCs w:val="11"/>
                <w:b w:val="1"/>
                <w:bCs w:val="1"/>
                <w:color w:val="auto"/>
              </w:rPr>
              <w:t>As of December 31, 2009</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8"/>
        </w:trPr>
        <w:tc>
          <w:tcPr>
            <w:tcW w:w="1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0"/>
              </w:rPr>
              <w:t>From 1 to 3</w:t>
            </w:r>
          </w:p>
        </w:tc>
        <w:tc>
          <w:tcPr>
            <w:tcW w:w="7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8"/>
              </w:rPr>
              <w:t>From 3 to 12</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From 1 to 3</w:t>
            </w:r>
          </w:p>
        </w:tc>
        <w:tc>
          <w:tcPr>
            <w:tcW w:w="8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From 1 to 12</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6"/>
        </w:trPr>
        <w:tc>
          <w:tcPr>
            <w:tcW w:w="12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4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85"/>
              </w:rPr>
              <w:t>From 1 to 5 years</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4"/>
              </w:rPr>
              <w:t>Over 5 years</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c>
          <w:tcPr>
            <w:tcW w:w="160" w:type="dxa"/>
            <w:vAlign w:val="bottom"/>
          </w:tcPr>
          <w:p>
            <w:pPr>
              <w:spacing w:after="0"/>
              <w:rPr>
                <w:sz w:val="10"/>
                <w:szCs w:val="1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6"/>
              </w:rPr>
              <w:t>Up to a month</w:t>
            </w: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months</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85"/>
              </w:rPr>
              <w:t>From 1 to 5 years</w:t>
            </w:r>
          </w:p>
        </w:tc>
        <w:tc>
          <w:tcPr>
            <w:tcW w:w="84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9"/>
              </w:rPr>
              <w:t>Over 5 years</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r>
      <w:tr>
        <w:trPr>
          <w:trHeight w:val="136"/>
        </w:trPr>
        <w:tc>
          <w:tcPr>
            <w:tcW w:w="126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4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146"/>
              <w:spacing w:after="0"/>
              <w:rPr>
                <w:sz w:val="20"/>
                <w:szCs w:val="20"/>
                <w:color w:val="auto"/>
              </w:rPr>
            </w:pPr>
            <w:r>
              <w:rPr>
                <w:rFonts w:ascii="Arial" w:cs="Arial" w:eastAsia="Arial" w:hAnsi="Arial"/>
                <w:sz w:val="11"/>
                <w:szCs w:val="11"/>
                <w:color w:val="auto"/>
              </w:rPr>
              <w:t>US$(000)</w:t>
            </w:r>
          </w:p>
        </w:tc>
        <w:tc>
          <w:tcPr>
            <w:tcW w:w="14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50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6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62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80" w:type="dxa"/>
            <w:vAlign w:val="bottom"/>
          </w:tcPr>
          <w:p>
            <w:pPr>
              <w:spacing w:after="0"/>
              <w:rPr>
                <w:sz w:val="11"/>
                <w:szCs w:val="11"/>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r>
      <w:tr>
        <w:trPr>
          <w:trHeight w:val="117"/>
        </w:trPr>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37"/>
        </w:trPr>
        <w:tc>
          <w:tcPr>
            <w:tcW w:w="12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Contingent credits</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247,146</w:t>
            </w:r>
          </w:p>
        </w:tc>
        <w:tc>
          <w:tcPr>
            <w:tcW w:w="140" w:type="dxa"/>
            <w:vAlign w:val="bottom"/>
            <w:shd w:val="clear" w:color="auto" w:fill="CCFFCC"/>
          </w:tcPr>
          <w:p>
            <w:pPr>
              <w:spacing w:after="0"/>
              <w:rPr>
                <w:sz w:val="20"/>
                <w:szCs w:val="20"/>
                <w:color w:val="auto"/>
              </w:rPr>
            </w:pP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1,069,485</w:t>
            </w: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1,328,131</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370,721</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119,728</w:t>
            </w:r>
          </w:p>
        </w:tc>
        <w:tc>
          <w:tcPr>
            <w:tcW w:w="140" w:type="dxa"/>
            <w:vAlign w:val="bottom"/>
            <w:shd w:val="clear" w:color="auto" w:fill="CCFFCC"/>
          </w:tcPr>
          <w:p>
            <w:pPr>
              <w:spacing w:after="0"/>
              <w:rPr>
                <w:sz w:val="20"/>
                <w:szCs w:val="20"/>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7"/>
              </w:rPr>
              <w:t>3,135,211</w:t>
            </w:r>
          </w:p>
        </w:tc>
        <w:tc>
          <w:tcPr>
            <w:tcW w:w="100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283,051</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798,222</w:t>
            </w:r>
          </w:p>
        </w:tc>
        <w:tc>
          <w:tcPr>
            <w:tcW w:w="820" w:type="dxa"/>
            <w:vAlign w:val="bottom"/>
            <w:gridSpan w:val="3"/>
            <w:shd w:val="clear" w:color="auto" w:fill="CCFFCC"/>
          </w:tcPr>
          <w:p>
            <w:pPr>
              <w:ind w:left="220"/>
              <w:spacing w:after="0"/>
              <w:rPr>
                <w:sz w:val="20"/>
                <w:szCs w:val="20"/>
                <w:color w:val="auto"/>
              </w:rPr>
            </w:pPr>
            <w:r>
              <w:rPr>
                <w:rFonts w:ascii="Arial" w:cs="Arial" w:eastAsia="Arial" w:hAnsi="Arial"/>
                <w:sz w:val="11"/>
                <w:szCs w:val="11"/>
                <w:color w:val="auto"/>
              </w:rPr>
              <w:t>1,019,234</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303,597</w:t>
            </w:r>
          </w:p>
        </w:tc>
        <w:tc>
          <w:tcPr>
            <w:tcW w:w="840" w:type="dxa"/>
            <w:vAlign w:val="bottom"/>
            <w:gridSpan w:val="3"/>
            <w:shd w:val="clear" w:color="auto" w:fill="CCFFCC"/>
          </w:tcPr>
          <w:p>
            <w:pPr>
              <w:jc w:val="right"/>
              <w:ind w:right="160"/>
              <w:spacing w:after="0"/>
              <w:rPr>
                <w:sz w:val="20"/>
                <w:szCs w:val="20"/>
                <w:color w:val="auto"/>
              </w:rPr>
            </w:pPr>
            <w:r>
              <w:rPr>
                <w:rFonts w:ascii="Arial" w:cs="Arial" w:eastAsia="Arial" w:hAnsi="Arial"/>
                <w:sz w:val="11"/>
                <w:szCs w:val="11"/>
                <w:color w:val="auto"/>
              </w:rPr>
              <w:t>124,031</w:t>
            </w:r>
          </w:p>
        </w:tc>
        <w:tc>
          <w:tcPr>
            <w:tcW w:w="500" w:type="dxa"/>
            <w:vAlign w:val="bottom"/>
            <w:shd w:val="clear" w:color="auto" w:fill="CCFFCC"/>
          </w:tcPr>
          <w:p>
            <w:pPr>
              <w:jc w:val="right"/>
              <w:spacing w:after="0"/>
              <w:rPr>
                <w:sz w:val="20"/>
                <w:szCs w:val="20"/>
                <w:color w:val="auto"/>
              </w:rPr>
            </w:pPr>
            <w:r>
              <w:rPr>
                <w:rFonts w:ascii="Arial" w:cs="Arial" w:eastAsia="Arial" w:hAnsi="Arial"/>
                <w:sz w:val="11"/>
                <w:szCs w:val="11"/>
                <w:color w:val="auto"/>
                <w:w w:val="97"/>
              </w:rPr>
              <w:t>2,528,135</w:t>
            </w:r>
          </w:p>
        </w:tc>
        <w:tc>
          <w:tcPr>
            <w:tcW w:w="80" w:type="dxa"/>
            <w:vAlign w:val="bottom"/>
            <w:shd w:val="clear" w:color="auto" w:fill="CCFFCC"/>
          </w:tcPr>
          <w:p>
            <w:pPr>
              <w:spacing w:after="0"/>
              <w:rPr>
                <w:sz w:val="20"/>
                <w:szCs w:val="20"/>
                <w:color w:val="auto"/>
              </w:rPr>
            </w:pPr>
          </w:p>
        </w:tc>
      </w:tr>
      <w:tr>
        <w:trPr>
          <w:trHeight w:val="20"/>
        </w:trPr>
        <w:tc>
          <w:tcPr>
            <w:tcW w:w="12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group expects that not all of the contingent liabilities or commitments will be drawn before expiration of the commitments.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83" w:right="47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29.4.  Operational risk -</w:t>
      </w:r>
    </w:p>
    <w:p>
      <w:pPr>
        <w:spacing w:after="0" w:line="27" w:lineRule="exact"/>
        <w:rPr>
          <w:sz w:val="20"/>
          <w:szCs w:val="20"/>
          <w:color w:val="auto"/>
        </w:rPr>
      </w:pPr>
    </w:p>
    <w:p>
      <w:pPr>
        <w:ind w:left="500" w:right="100"/>
        <w:spacing w:after="0" w:line="253"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Risk of the insurance activity -</w:t>
      </w:r>
    </w:p>
    <w:p>
      <w:pPr>
        <w:spacing w:after="0" w:line="27" w:lineRule="exact"/>
        <w:rPr>
          <w:sz w:val="20"/>
          <w:szCs w:val="20"/>
          <w:color w:val="auto"/>
        </w:rPr>
      </w:pPr>
    </w:p>
    <w:p>
      <w:pPr>
        <w:ind w:left="500" w:right="700"/>
        <w:spacing w:after="0" w:line="277" w:lineRule="auto"/>
        <w:rPr>
          <w:sz w:val="20"/>
          <w:szCs w:val="20"/>
          <w:color w:val="auto"/>
        </w:rPr>
      </w:pPr>
      <w:r>
        <w:rPr>
          <w:rFonts w:ascii="Arial" w:cs="Arial" w:eastAsia="Arial" w:hAnsi="Arial"/>
          <w:sz w:val="17"/>
          <w:szCs w:val="17"/>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73" w:lineRule="exact"/>
        <w:rPr>
          <w:sz w:val="20"/>
          <w:szCs w:val="20"/>
          <w:color w:val="auto"/>
        </w:rPr>
      </w:pPr>
    </w:p>
    <w:p>
      <w:pPr>
        <w:ind w:left="500" w:right="26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such that it is neither dependent on a single reinsurer nor are the operations of the Group substantially dependent upon any single reinsurance contract.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The main risks that the Group is exposed are mortality, morbidity, longevity, investment return, expense incurred of loss arising from expense experience being different than expected, and policyholder decision, all of which, do not vary significantly in relation to the location of the risk insured by the Group, type of risk insured or industry.</w:t>
      </w:r>
    </w:p>
    <w:p>
      <w:pPr>
        <w:spacing w:after="0" w:line="190" w:lineRule="exact"/>
        <w:rPr>
          <w:sz w:val="20"/>
          <w:szCs w:val="20"/>
          <w:color w:val="auto"/>
        </w:rPr>
      </w:pPr>
    </w:p>
    <w:p>
      <w:pPr>
        <w:ind w:left="500"/>
        <w:spacing w:after="0" w:line="276"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largely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73"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For contracts when death is the insured risk, the significant factors that could increase the overall frequency of claims are epidemics, widespread changes in lifestyle and natural disasters, resulting in earlier or more claims than expected.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For retirement, survival and disability pension contracts, the most significant factor is continuing improvement in medical science and social conditions that would increase longevity.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has made a sensitivity analysis of the estimates of the technical reserves, note 14(c).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500" w:right="240"/>
        <w:spacing w:after="0" w:line="290" w:lineRule="auto"/>
        <w:rPr>
          <w:sz w:val="20"/>
          <w:szCs w:val="20"/>
          <w:color w:val="auto"/>
        </w:rPr>
      </w:pPr>
      <w:r>
        <w:rPr>
          <w:rFonts w:ascii="Arial" w:cs="Arial" w:eastAsia="Arial" w:hAnsi="Arial"/>
          <w:sz w:val="17"/>
          <w:szCs w:val="17"/>
          <w:color w:val="auto"/>
        </w:rPr>
        <w:t>The Group principally issues the following types of general insurance contracts: motor, household and commercial and health. Healthcare contracts provide medical expense cover to policyholders. Risks under non-life insurance policies usually cover 12 months.</w:t>
      </w:r>
    </w:p>
    <w:p>
      <w:pPr>
        <w:spacing w:after="0" w:line="162" w:lineRule="exact"/>
        <w:rPr>
          <w:sz w:val="20"/>
          <w:szCs w:val="20"/>
          <w:color w:val="auto"/>
        </w:rPr>
      </w:pPr>
    </w:p>
    <w:p>
      <w:pPr>
        <w:ind w:left="500" w:right="4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25" w:lineRule="exact"/>
        <w:rPr>
          <w:sz w:val="20"/>
          <w:szCs w:val="20"/>
          <w:color w:val="auto"/>
        </w:rPr>
      </w:pPr>
    </w:p>
    <w:p>
      <w:pPr>
        <w:ind w:left="500"/>
        <w:spacing w:after="0" w:line="255" w:lineRule="auto"/>
        <w:rPr>
          <w:sz w:val="20"/>
          <w:szCs w:val="20"/>
          <w:color w:val="auto"/>
        </w:rPr>
      </w:pPr>
      <w:r>
        <w:rPr>
          <w:rFonts w:ascii="Arial" w:cs="Arial" w:eastAsia="Arial" w:hAnsi="Arial"/>
          <w:sz w:val="18"/>
          <w:szCs w:val="18"/>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89"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170"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3" w:right="25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hanging="486"/>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Sensitivity to changes in interest rates -</w:t>
      </w:r>
    </w:p>
    <w:p>
      <w:pPr>
        <w:spacing w:after="0" w:line="23" w:lineRule="exact"/>
        <w:rPr>
          <w:rFonts w:ascii="Arial" w:cs="Arial" w:eastAsia="Arial" w:hAnsi="Arial"/>
          <w:sz w:val="18"/>
          <w:szCs w:val="18"/>
          <w:color w:val="auto"/>
        </w:rPr>
      </w:pPr>
    </w:p>
    <w:p>
      <w:pPr>
        <w:ind w:left="980" w:right="360"/>
        <w:spacing w:after="0" w:line="323" w:lineRule="auto"/>
        <w:rPr>
          <w:rFonts w:ascii="Arial" w:cs="Arial" w:eastAsia="Arial" w:hAnsi="Arial"/>
          <w:sz w:val="18"/>
          <w:szCs w:val="18"/>
          <w:color w:val="auto"/>
        </w:rPr>
      </w:pPr>
      <w:r>
        <w:rPr>
          <w:rFonts w:ascii="Arial" w:cs="Arial" w:eastAsia="Arial" w:hAnsi="Arial"/>
          <w:sz w:val="16"/>
          <w:szCs w:val="16"/>
          <w:color w:val="auto"/>
        </w:rPr>
        <w:t>The following tables demonstrate the sensitivity to a reasonably possible change in interest rates, with all other variables held constant, in consolidated income statement and consolidated statements of comprehensive income of the insurance activity, before income tax:</w:t>
      </w:r>
    </w:p>
    <w:p>
      <w:pPr>
        <w:spacing w:after="0" w:line="1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 2010</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3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400" w:type="dxa"/>
            <w:vAlign w:val="bottom"/>
          </w:tcPr>
          <w:p>
            <w:pPr>
              <w:spacing w:after="0"/>
              <w:rPr>
                <w:sz w:val="17"/>
                <w:szCs w:val="17"/>
                <w:color w:val="auto"/>
              </w:rPr>
            </w:pPr>
          </w:p>
        </w:tc>
        <w:tc>
          <w:tcPr>
            <w:tcW w:w="152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20" w:type="dxa"/>
            <w:vAlign w:val="bottom"/>
          </w:tcPr>
          <w:p>
            <w:pPr>
              <w:spacing w:after="0"/>
              <w:rPr>
                <w:sz w:val="17"/>
                <w:szCs w:val="17"/>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7"/>
              </w:rPr>
              <w:t>Changes in basis points</w:t>
            </w:r>
          </w:p>
        </w:tc>
        <w:tc>
          <w:tcPr>
            <w:tcW w:w="340" w:type="dxa"/>
            <w:vAlign w:val="bottom"/>
          </w:tcPr>
          <w:p>
            <w:pPr>
              <w:spacing w:after="0"/>
              <w:rPr>
                <w:sz w:val="19"/>
                <w:szCs w:val="19"/>
                <w:color w:val="auto"/>
              </w:rPr>
            </w:pPr>
          </w:p>
        </w:tc>
        <w:tc>
          <w:tcPr>
            <w:tcW w:w="1680" w:type="dxa"/>
            <w:vAlign w:val="bottom"/>
          </w:tcPr>
          <w:p>
            <w:pPr>
              <w:jc w:val="center"/>
              <w:ind w:right="250"/>
              <w:spacing w:after="0"/>
              <w:rPr>
                <w:sz w:val="20"/>
                <w:szCs w:val="20"/>
                <w:color w:val="auto"/>
              </w:rPr>
            </w:pPr>
            <w:r>
              <w:rPr>
                <w:rFonts w:ascii="Arial" w:cs="Arial" w:eastAsia="Arial" w:hAnsi="Arial"/>
                <w:sz w:val="18"/>
                <w:szCs w:val="18"/>
                <w:b w:val="1"/>
                <w:bCs w:val="1"/>
                <w:color w:val="auto"/>
                <w:w w:val="85"/>
              </w:rPr>
              <w:t>income</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3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center"/>
              <w:ind w:right="290"/>
              <w:spacing w:after="0"/>
              <w:rPr>
                <w:sz w:val="20"/>
                <w:szCs w:val="20"/>
                <w:color w:val="auto"/>
              </w:rPr>
            </w:pPr>
            <w:r>
              <w:rPr>
                <w:rFonts w:ascii="Arial" w:cs="Arial" w:eastAsia="Arial" w:hAnsi="Arial"/>
                <w:sz w:val="18"/>
                <w:szCs w:val="18"/>
                <w:color w:val="auto"/>
                <w:w w:val="90"/>
              </w:rPr>
              <w:t>US$(000)</w:t>
            </w:r>
          </w:p>
        </w:tc>
        <w:tc>
          <w:tcPr>
            <w:tcW w:w="40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US$(000)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23,263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34,894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46,525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69,788</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12,743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19,115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25,487</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38,230</w:t>
            </w:r>
          </w:p>
        </w:tc>
      </w:tr>
      <w:tr>
        <w:trPr>
          <w:trHeight w:val="439"/>
        </w:trPr>
        <w:tc>
          <w:tcPr>
            <w:tcW w:w="3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 2009</w:t>
            </w: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88"/>
              </w:rPr>
              <w:t>Sensitivity of net</w:t>
            </w:r>
          </w:p>
        </w:tc>
        <w:tc>
          <w:tcPr>
            <w:tcW w:w="400" w:type="dxa"/>
            <w:vAlign w:val="bottom"/>
          </w:tcPr>
          <w:p>
            <w:pPr>
              <w:spacing w:after="0"/>
              <w:rPr>
                <w:sz w:val="17"/>
                <w:szCs w:val="17"/>
                <w:color w:val="auto"/>
              </w:rPr>
            </w:pPr>
          </w:p>
        </w:tc>
        <w:tc>
          <w:tcPr>
            <w:tcW w:w="1520" w:type="dxa"/>
            <w:vAlign w:val="bottom"/>
          </w:tcPr>
          <w:p>
            <w:pPr>
              <w:jc w:val="center"/>
              <w:ind w:right="230"/>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20" w:type="dxa"/>
            <w:vAlign w:val="bottom"/>
          </w:tcPr>
          <w:p>
            <w:pPr>
              <w:spacing w:after="0"/>
              <w:rPr>
                <w:sz w:val="17"/>
                <w:szCs w:val="17"/>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7"/>
              </w:rPr>
              <w:t>Changes in basis points</w:t>
            </w:r>
          </w:p>
        </w:tc>
        <w:tc>
          <w:tcPr>
            <w:tcW w:w="340" w:type="dxa"/>
            <w:vAlign w:val="bottom"/>
          </w:tcPr>
          <w:p>
            <w:pPr>
              <w:spacing w:after="0"/>
              <w:rPr>
                <w:sz w:val="19"/>
                <w:szCs w:val="19"/>
                <w:color w:val="auto"/>
              </w:rPr>
            </w:pPr>
          </w:p>
        </w:tc>
        <w:tc>
          <w:tcPr>
            <w:tcW w:w="1680" w:type="dxa"/>
            <w:vAlign w:val="bottom"/>
          </w:tcPr>
          <w:p>
            <w:pPr>
              <w:jc w:val="center"/>
              <w:ind w:right="250"/>
              <w:spacing w:after="0"/>
              <w:rPr>
                <w:sz w:val="20"/>
                <w:szCs w:val="20"/>
                <w:color w:val="auto"/>
              </w:rPr>
            </w:pPr>
            <w:r>
              <w:rPr>
                <w:rFonts w:ascii="Arial" w:cs="Arial" w:eastAsia="Arial" w:hAnsi="Arial"/>
                <w:sz w:val="18"/>
                <w:szCs w:val="18"/>
                <w:b w:val="1"/>
                <w:bCs w:val="1"/>
                <w:color w:val="auto"/>
                <w:w w:val="85"/>
              </w:rPr>
              <w:t>income</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3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jc w:val="center"/>
              <w:ind w:right="290"/>
              <w:spacing w:after="0"/>
              <w:rPr>
                <w:sz w:val="20"/>
                <w:szCs w:val="20"/>
                <w:color w:val="auto"/>
              </w:rPr>
            </w:pPr>
            <w:r>
              <w:rPr>
                <w:rFonts w:ascii="Arial" w:cs="Arial" w:eastAsia="Arial" w:hAnsi="Arial"/>
                <w:sz w:val="18"/>
                <w:szCs w:val="18"/>
                <w:color w:val="auto"/>
                <w:w w:val="90"/>
              </w:rPr>
              <w:t>US$(000)</w:t>
            </w:r>
          </w:p>
        </w:tc>
        <w:tc>
          <w:tcPr>
            <w:tcW w:w="40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US$(000)</w:t>
            </w:r>
          </w:p>
        </w:tc>
      </w:tr>
      <w:tr>
        <w:trPr>
          <w:trHeight w:val="418"/>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15,967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23,951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328</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31,935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U.S. Dollar</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47,902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3,469</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5,204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6,939</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Peruvian Currency</w:t>
            </w: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10,408</w:t>
            </w:r>
          </w:p>
        </w:tc>
      </w:tr>
    </w:tbl>
    <w:p>
      <w:pPr>
        <w:spacing w:after="0" w:line="202" w:lineRule="exact"/>
        <w:rPr>
          <w:sz w:val="20"/>
          <w:szCs w:val="20"/>
          <w:color w:val="auto"/>
        </w:rPr>
      </w:pPr>
    </w:p>
    <w:p>
      <w:pPr>
        <w:ind w:left="98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166" w:lineRule="exact"/>
        <w:rPr>
          <w:sz w:val="20"/>
          <w:szCs w:val="20"/>
          <w:color w:val="auto"/>
        </w:rPr>
      </w:pPr>
    </w:p>
    <w:p>
      <w:pPr>
        <w:ind w:left="980" w:hanging="486"/>
        <w:spacing w:after="0"/>
        <w:tabs>
          <w:tab w:leader="none" w:pos="9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3" w:lineRule="exact"/>
        <w:rPr>
          <w:rFonts w:ascii="Arial" w:cs="Arial" w:eastAsia="Arial" w:hAnsi="Arial"/>
          <w:sz w:val="18"/>
          <w:szCs w:val="18"/>
          <w:color w:val="auto"/>
        </w:rPr>
      </w:pPr>
    </w:p>
    <w:p>
      <w:pPr>
        <w:ind w:left="980" w:right="100"/>
        <w:spacing w:after="0" w:line="290" w:lineRule="auto"/>
        <w:rPr>
          <w:rFonts w:ascii="Arial" w:cs="Arial" w:eastAsia="Arial" w:hAnsi="Arial"/>
          <w:sz w:val="18"/>
          <w:szCs w:val="18"/>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83" w:right="41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jc w:val="both"/>
        <w:ind w:left="980" w:right="20"/>
        <w:spacing w:after="0" w:line="264" w:lineRule="auto"/>
        <w:rPr>
          <w:sz w:val="20"/>
          <w:szCs w:val="20"/>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181" w:lineRule="exact"/>
        <w:rPr>
          <w:sz w:val="20"/>
          <w:szCs w:val="20"/>
          <w:color w:val="auto"/>
        </w:rPr>
      </w:pPr>
    </w:p>
    <w:p>
      <w:pPr>
        <w:ind w:left="980" w:right="300"/>
        <w:spacing w:after="0" w:line="277" w:lineRule="auto"/>
        <w:rPr>
          <w:sz w:val="20"/>
          <w:szCs w:val="20"/>
          <w:color w:val="auto"/>
        </w:rPr>
      </w:pPr>
      <w:r>
        <w:rPr>
          <w:rFonts w:ascii="Arial" w:cs="Arial" w:eastAsia="Arial" w:hAnsi="Arial"/>
          <w:sz w:val="18"/>
          <w:szCs w:val="18"/>
          <w:color w:val="auto"/>
        </w:rPr>
        <w:t>The undiscounted cash flows payable by the Group for technical reserves, insurance claims reserves and reserves for unearned premiums by their remaining contractual maturities, including future interest payments, is presented in note 29.3.</w:t>
      </w:r>
    </w:p>
    <w:p>
      <w:pPr>
        <w:spacing w:after="0" w:line="170" w:lineRule="exact"/>
        <w:rPr>
          <w:sz w:val="20"/>
          <w:szCs w:val="20"/>
          <w:color w:val="auto"/>
        </w:rPr>
      </w:pPr>
    </w:p>
    <w:p>
      <w:pPr>
        <w:jc w:val="both"/>
        <w:ind w:left="980" w:right="240"/>
        <w:spacing w:after="0" w:line="342" w:lineRule="auto"/>
        <w:rPr>
          <w:sz w:val="20"/>
          <w:szCs w:val="20"/>
          <w:color w:val="auto"/>
        </w:rPr>
      </w:pPr>
      <w:r>
        <w:rPr>
          <w:rFonts w:ascii="Arial" w:cs="Arial" w:eastAsia="Arial" w:hAnsi="Arial"/>
          <w:sz w:val="16"/>
          <w:szCs w:val="16"/>
          <w:color w:val="auto"/>
        </w:rPr>
        <w:t>Other non-derivative financial liabilities are related to the balances presented in the consolidated statements of financial position and include mainly accounts payable to reinsurers and coinsurers and other liabilities with contractual maturities of less than one year, see also note 29.3.</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 linked liabilities are payable on demand and are included in the up to a year column.</w:t>
      </w:r>
    </w:p>
    <w:p>
      <w:pPr>
        <w:spacing w:after="0" w:line="225" w:lineRule="exact"/>
        <w:rPr>
          <w:sz w:val="20"/>
          <w:szCs w:val="20"/>
          <w:color w:val="auto"/>
        </w:rPr>
      </w:pPr>
    </w:p>
    <w:p>
      <w:pPr>
        <w:ind w:left="980" w:hanging="486"/>
        <w:spacing w:after="0"/>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3" w:lineRule="exact"/>
        <w:rPr>
          <w:rFonts w:ascii="Arial" w:cs="Arial" w:eastAsia="Arial" w:hAnsi="Arial"/>
          <w:sz w:val="18"/>
          <w:szCs w:val="18"/>
          <w:color w:val="auto"/>
        </w:rPr>
      </w:pPr>
    </w:p>
    <w:p>
      <w:pPr>
        <w:ind w:left="980" w:right="200"/>
        <w:spacing w:after="0" w:line="492" w:lineRule="auto"/>
        <w:rPr>
          <w:rFonts w:ascii="Arial" w:cs="Arial" w:eastAsia="Arial" w:hAnsi="Arial"/>
          <w:sz w:val="18"/>
          <w:szCs w:val="18"/>
          <w:color w:val="auto"/>
        </w:rPr>
      </w:pPr>
      <w:r>
        <w:rPr>
          <w:rFonts w:ascii="Arial" w:cs="Arial" w:eastAsia="Arial" w:hAnsi="Arial"/>
          <w:sz w:val="18"/>
          <w:szCs w:val="18"/>
          <w:color w:val="auto"/>
        </w:rPr>
        <w:t>Credit risk is the risk that one party to a financial instrument will cause a financial loss to the other party by failing to discharge an obligation. The following policies and procedures are in place to mitigate the Group’s exposure to credit risk:</w:t>
      </w:r>
    </w:p>
    <w:p>
      <w:pPr>
        <w:spacing w:after="0" w:line="1" w:lineRule="exact"/>
        <w:rPr>
          <w:rFonts w:ascii="Arial" w:cs="Arial" w:eastAsia="Arial" w:hAnsi="Arial"/>
          <w:sz w:val="18"/>
          <w:szCs w:val="18"/>
          <w:color w:val="auto"/>
        </w:rPr>
      </w:pPr>
    </w:p>
    <w:p>
      <w:pPr>
        <w:ind w:left="1620" w:right="320" w:hanging="640"/>
        <w:spacing w:after="0" w:line="277" w:lineRule="auto"/>
        <w:tabs>
          <w:tab w:leader="none" w:pos="16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70" w:lineRule="exact"/>
        <w:rPr>
          <w:rFonts w:ascii="Arial" w:cs="Arial" w:eastAsia="Arial" w:hAnsi="Arial"/>
          <w:sz w:val="18"/>
          <w:szCs w:val="18"/>
          <w:color w:val="auto"/>
        </w:rPr>
      </w:pPr>
    </w:p>
    <w:p>
      <w:pPr>
        <w:jc w:val="both"/>
        <w:ind w:left="1620" w:right="220" w:hanging="640"/>
        <w:spacing w:after="0" w:line="264" w:lineRule="auto"/>
        <w:tabs>
          <w:tab w:leader="none" w:pos="16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81" w:lineRule="exact"/>
        <w:rPr>
          <w:rFonts w:ascii="Arial" w:cs="Arial" w:eastAsia="Arial" w:hAnsi="Arial"/>
          <w:sz w:val="18"/>
          <w:szCs w:val="18"/>
          <w:color w:val="auto"/>
        </w:rPr>
      </w:pPr>
    </w:p>
    <w:p>
      <w:pPr>
        <w:jc w:val="both"/>
        <w:ind w:left="1620" w:hanging="640"/>
        <w:spacing w:after="0" w:line="259" w:lineRule="auto"/>
        <w:tabs>
          <w:tab w:leader="none" w:pos="16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186" w:lineRule="exact"/>
        <w:rPr>
          <w:rFonts w:ascii="Arial" w:cs="Arial" w:eastAsia="Arial" w:hAnsi="Arial"/>
          <w:sz w:val="18"/>
          <w:szCs w:val="18"/>
          <w:color w:val="auto"/>
        </w:rPr>
      </w:pPr>
    </w:p>
    <w:p>
      <w:pPr>
        <w:ind w:left="1620" w:right="80" w:hanging="640"/>
        <w:spacing w:after="0" w:line="264" w:lineRule="auto"/>
        <w:tabs>
          <w:tab w:leader="none" w:pos="16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81" w:lineRule="exact"/>
        <w:rPr>
          <w:rFonts w:ascii="Arial" w:cs="Arial" w:eastAsia="Arial" w:hAnsi="Arial"/>
          <w:sz w:val="18"/>
          <w:szCs w:val="18"/>
          <w:color w:val="auto"/>
        </w:rPr>
      </w:pPr>
    </w:p>
    <w:p>
      <w:pPr>
        <w:jc w:val="both"/>
        <w:ind w:left="1620" w:right="80" w:hanging="640"/>
        <w:spacing w:after="0" w:line="264" w:lineRule="auto"/>
        <w:tabs>
          <w:tab w:leader="none" w:pos="16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Group issues unit linked contracts whereby the policyholder bears the investment risk on the financial assets held in the Company ´s investment portfolio as the policy benefits are directly linked to the value of the assets in the portfolio. Therefore, the Group has no material credit risk on unit linked financial assets.</w:t>
      </w:r>
    </w:p>
    <w:p>
      <w:pPr>
        <w:spacing w:after="0" w:line="181" w:lineRule="exact"/>
        <w:rPr>
          <w:rFonts w:ascii="Arial" w:cs="Arial" w:eastAsia="Arial" w:hAnsi="Arial"/>
          <w:sz w:val="18"/>
          <w:szCs w:val="18"/>
          <w:color w:val="auto"/>
        </w:rPr>
      </w:pPr>
    </w:p>
    <w:p>
      <w:pPr>
        <w:ind w:left="1620" w:right="60" w:hanging="640"/>
        <w:spacing w:after="0" w:line="264" w:lineRule="auto"/>
        <w:tabs>
          <w:tab w:leader="none" w:pos="16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Group has not provided the credit risk analysis for the financial assets of the unit linked business. This is due to the fact that, in unit linked business, the liability to policyholders is linked to the performance and value of the assets that back those liabilities and the shareholders have no direct exposure to any credit risk in those assets.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29.6.  Capital management -</w:t>
      </w:r>
    </w:p>
    <w:p>
      <w:pPr>
        <w:spacing w:after="0" w:line="27" w:lineRule="exact"/>
        <w:rPr>
          <w:sz w:val="20"/>
          <w:szCs w:val="20"/>
          <w:color w:val="auto"/>
        </w:rPr>
      </w:pPr>
    </w:p>
    <w:p>
      <w:pPr>
        <w:ind w:left="500" w:right="60"/>
        <w:spacing w:after="0" w:line="323"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39" w:lineRule="exact"/>
        <w:rPr>
          <w:sz w:val="20"/>
          <w:szCs w:val="20"/>
          <w:color w:val="auto"/>
        </w:rPr>
      </w:pPr>
    </w:p>
    <w:p>
      <w:pPr>
        <w:ind w:left="500" w:right="140"/>
        <w:spacing w:after="0" w:line="279" w:lineRule="auto"/>
        <w:rPr>
          <w:sz w:val="20"/>
          <w:szCs w:val="20"/>
          <w:color w:val="auto"/>
        </w:rPr>
      </w:pPr>
      <w:r>
        <w:rPr>
          <w:rFonts w:ascii="Arial" w:cs="Arial" w:eastAsia="Arial" w:hAnsi="Arial"/>
          <w:sz w:val="17"/>
          <w:szCs w:val="17"/>
          <w:color w:val="auto"/>
        </w:rPr>
        <w:t>The Group’s objectives when managing capital, which is a broader concept than the “Equity” on the face of the consolidated statements of financial position, are: (i) to comply with the capital requirements set by the regulators of the banking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171" w:lineRule="exact"/>
        <w:rPr>
          <w:sz w:val="20"/>
          <w:szCs w:val="20"/>
          <w:color w:val="auto"/>
        </w:rPr>
      </w:pPr>
    </w:p>
    <w:p>
      <w:pPr>
        <w:ind w:left="500" w:right="20"/>
        <w:spacing w:after="0" w:line="284" w:lineRule="auto"/>
        <w:rPr>
          <w:sz w:val="20"/>
          <w:szCs w:val="20"/>
          <w:color w:val="auto"/>
        </w:rPr>
      </w:pPr>
      <w:r>
        <w:rPr>
          <w:rFonts w:ascii="Arial" w:cs="Arial" w:eastAsia="Arial" w:hAnsi="Arial"/>
          <w:sz w:val="16"/>
          <w:szCs w:val="16"/>
          <w:color w:val="auto"/>
        </w:rPr>
        <w:t>Capital adequacy and the use of regulatory capital are monitored daily by the Group’s Management, employing techniques based on the guidelines developed by the Basel Committee, as implemented by the SBS for supervisory purposes. The required information is filed with the SBS on a quarterly basis. The SBS requires each bank or banking group to: (a) hold the minimum level of the regulatory capital, and (b) maintain a ratio of total regulatory capital to the risk-weighted asset at maximum level of 11. On June 2008, through Legislative Decree 1028, the ratio indicated in (b) above was modified, requiring that starting July 1, 2011, the regulatory capital be at least 10 percent of the assets and contingent credits weighed by credit risk plus 10 times the required regulatory capital for operational and market risk (9.5 percent starting July 1, 2009 and 9.8 percent starting July 1,</w:t>
      </w:r>
    </w:p>
    <w:p>
      <w:pPr>
        <w:spacing w:after="0" w:line="5"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color w:val="auto"/>
        </w:rPr>
        <w:t>2010). In addition, those individual banking subsidiaries or similar financial institutions not incorporated in Peru are directly regulated and supervised by their local banking supervisor, whose regulatory capital requirements may differ from country to country.</w:t>
      </w:r>
    </w:p>
    <w:p>
      <w:pPr>
        <w:spacing w:after="0" w:line="184" w:lineRule="exact"/>
        <w:rPr>
          <w:sz w:val="20"/>
          <w:szCs w:val="20"/>
          <w:color w:val="auto"/>
        </w:rPr>
      </w:pPr>
    </w:p>
    <w:p>
      <w:pPr>
        <w:ind w:left="500"/>
        <w:spacing w:after="0" w:line="286" w:lineRule="auto"/>
        <w:rPr>
          <w:sz w:val="20"/>
          <w:szCs w:val="20"/>
          <w:color w:val="auto"/>
        </w:rPr>
      </w:pPr>
      <w:r>
        <w:rPr>
          <w:rFonts w:ascii="Arial" w:cs="Arial" w:eastAsia="Arial" w:hAnsi="Arial"/>
          <w:sz w:val="17"/>
          <w:szCs w:val="17"/>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According to the SBS regulations, the Junior Subordinated Notes issued by BCP through its Panama branch for US$250.0 million are computable to determinate the Group’s regulatory capital, see note 15(a)(iii).</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3" w:right="27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279" w:lineRule="auto"/>
        <w:rPr>
          <w:sz w:val="20"/>
          <w:szCs w:val="20"/>
          <w:color w:val="auto"/>
        </w:rPr>
      </w:pPr>
      <w:r>
        <w:rPr>
          <w:rFonts w:ascii="Arial" w:cs="Arial" w:eastAsia="Arial" w:hAnsi="Arial"/>
          <w:sz w:val="17"/>
          <w:szCs w:val="17"/>
          <w:color w:val="auto"/>
        </w:rPr>
        <w:t>As of December 31, 2010 and 2009, the regulatory capital for the subsidiaries engaged in financial and insurance activities amounted to approximately US$2,391.3 and US$2,221.1 million, respectively. This regulatory capital has been determined in accordance with SBS regulations in force as of such dates. According to the SBS regulations, the Group’s regulatory capital exceeds in approximately US$514.8 million the minimum regulatory capital required as of December 31, 2010 (approximately US$660.3 million as of December 31,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29.7.  Fair value -</w:t>
      </w:r>
    </w:p>
    <w:p>
      <w:pPr>
        <w:spacing w:after="0" w:line="27" w:lineRule="exact"/>
        <w:rPr>
          <w:sz w:val="20"/>
          <w:szCs w:val="20"/>
          <w:color w:val="auto"/>
        </w:rPr>
      </w:pPr>
    </w:p>
    <w:p>
      <w:pPr>
        <w:ind w:left="980" w:right="240" w:hanging="486"/>
        <w:spacing w:after="0" w:line="261"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183" w:lineRule="exact"/>
        <w:rPr>
          <w:rFonts w:ascii="Arial" w:cs="Arial" w:eastAsia="Arial" w:hAnsi="Arial"/>
          <w:sz w:val="18"/>
          <w:szCs w:val="18"/>
          <w:color w:val="auto"/>
        </w:rPr>
      </w:pPr>
    </w:p>
    <w:p>
      <w:pPr>
        <w:ind w:left="980" w:right="20"/>
        <w:spacing w:after="0" w:line="255" w:lineRule="auto"/>
        <w:rPr>
          <w:rFonts w:ascii="Arial" w:cs="Arial" w:eastAsia="Arial" w:hAnsi="Arial"/>
          <w:sz w:val="18"/>
          <w:szCs w:val="18"/>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93" w:lineRule="exact"/>
        <w:rPr>
          <w:rFonts w:ascii="Arial" w:cs="Arial" w:eastAsia="Arial" w:hAnsi="Arial"/>
          <w:sz w:val="18"/>
          <w:szCs w:val="18"/>
          <w:color w:val="auto"/>
        </w:rPr>
      </w:pPr>
    </w:p>
    <w:p>
      <w:pPr>
        <w:ind w:left="980" w:right="720"/>
        <w:spacing w:after="0" w:line="277" w:lineRule="auto"/>
        <w:rPr>
          <w:rFonts w:ascii="Arial" w:cs="Arial" w:eastAsia="Arial" w:hAnsi="Arial"/>
          <w:sz w:val="18"/>
          <w:szCs w:val="18"/>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70" w:lineRule="exact"/>
        <w:rPr>
          <w:rFonts w:ascii="Arial" w:cs="Arial" w:eastAsia="Arial" w:hAnsi="Arial"/>
          <w:sz w:val="18"/>
          <w:szCs w:val="18"/>
          <w:color w:val="auto"/>
        </w:rPr>
      </w:pPr>
    </w:p>
    <w:p>
      <w:pPr>
        <w:ind w:left="1620" w:right="80" w:hanging="640"/>
        <w:spacing w:after="0" w:line="312" w:lineRule="auto"/>
        <w:tabs>
          <w:tab w:leader="none" w:pos="162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146" w:lineRule="exact"/>
        <w:rPr>
          <w:rFonts w:ascii="Arial" w:cs="Arial" w:eastAsia="Arial" w:hAnsi="Arial"/>
          <w:sz w:val="16"/>
          <w:szCs w:val="16"/>
          <w:color w:val="auto"/>
        </w:rPr>
      </w:pPr>
    </w:p>
    <w:p>
      <w:pPr>
        <w:ind w:left="1620" w:hanging="640"/>
        <w:spacing w:after="0" w:line="273" w:lineRule="auto"/>
        <w:tabs>
          <w:tab w:leader="none" w:pos="162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3" w:right="29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620" w:right="20" w:hanging="640"/>
        <w:spacing w:after="0" w:line="276" w:lineRule="auto"/>
        <w:tabs>
          <w:tab w:leader="none" w:pos="16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Financial instrument recorded at fair value - The fair value for financial instruments traded in active markets at the dates of the consolidated statements of financial position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 see (b).</w:t>
      </w:r>
    </w:p>
    <w:p>
      <w:pPr>
        <w:spacing w:after="0" w:line="173"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Based in the aforementioned, set out below is a comparison of the carrying amounts and fair values of the Group’s financial instruments that are carried in the consolidated statements of financial position. The table does not include the fair values of non-financial assets and non-financial liabilities:</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32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Book</w:t>
            </w:r>
          </w:p>
        </w:tc>
        <w:tc>
          <w:tcPr>
            <w:tcW w:w="8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6"/>
              </w:rPr>
              <w:t>Fair</w:t>
            </w:r>
          </w:p>
        </w:tc>
        <w:tc>
          <w:tcPr>
            <w:tcW w:w="200" w:type="dxa"/>
            <w:vAlign w:val="bottom"/>
          </w:tcPr>
          <w:p>
            <w:pPr>
              <w:spacing w:after="0"/>
              <w:rPr>
                <w:sz w:val="17"/>
                <w:szCs w:val="17"/>
                <w:color w:val="auto"/>
              </w:rPr>
            </w:pPr>
          </w:p>
        </w:tc>
        <w:tc>
          <w:tcPr>
            <w:tcW w:w="1260" w:type="dxa"/>
            <w:vAlign w:val="bottom"/>
            <w:gridSpan w:val="3"/>
          </w:tcPr>
          <w:p>
            <w:pPr>
              <w:ind w:left="260"/>
              <w:spacing w:after="0" w:line="198" w:lineRule="exact"/>
              <w:rPr>
                <w:sz w:val="20"/>
                <w:szCs w:val="20"/>
                <w:color w:val="auto"/>
              </w:rPr>
            </w:pPr>
            <w:r>
              <w:rPr>
                <w:rFonts w:ascii="Arial" w:cs="Arial" w:eastAsia="Arial" w:hAnsi="Arial"/>
                <w:sz w:val="18"/>
                <w:szCs w:val="18"/>
                <w:b w:val="1"/>
                <w:bCs w:val="1"/>
                <w:color w:val="auto"/>
              </w:rPr>
              <w:t>Book</w:t>
            </w:r>
          </w:p>
        </w:tc>
        <w:tc>
          <w:tcPr>
            <w:tcW w:w="8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320" w:type="dxa"/>
            <w:vAlign w:val="bottom"/>
            <w:gridSpan w:val="3"/>
          </w:tcPr>
          <w:p>
            <w:pPr>
              <w:ind w:left="300"/>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value</w:t>
            </w:r>
          </w:p>
        </w:tc>
        <w:tc>
          <w:tcPr>
            <w:tcW w:w="1260" w:type="dxa"/>
            <w:vAlign w:val="bottom"/>
            <w:gridSpan w:val="3"/>
          </w:tcPr>
          <w:p>
            <w:pPr>
              <w:ind w:left="280"/>
              <w:spacing w:after="0"/>
              <w:rPr>
                <w:sz w:val="20"/>
                <w:szCs w:val="20"/>
                <w:color w:val="auto"/>
              </w:rPr>
            </w:pPr>
            <w:r>
              <w:rPr>
                <w:rFonts w:ascii="Arial" w:cs="Arial" w:eastAsia="Arial" w:hAnsi="Arial"/>
                <w:sz w:val="18"/>
                <w:szCs w:val="18"/>
                <w:b w:val="1"/>
                <w:bCs w:val="1"/>
                <w:color w:val="auto"/>
              </w:rPr>
              <w:t>value</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260" w:type="dxa"/>
            <w:vAlign w:val="bottom"/>
            <w:gridSpan w:val="3"/>
          </w:tcPr>
          <w:p>
            <w:pPr>
              <w:ind w:left="120"/>
              <w:spacing w:after="0"/>
              <w:rPr>
                <w:sz w:val="20"/>
                <w:szCs w:val="20"/>
                <w:color w:val="auto"/>
              </w:rPr>
            </w:pPr>
            <w:r>
              <w:rPr>
                <w:rFonts w:ascii="Arial" w:cs="Arial" w:eastAsia="Arial" w:hAnsi="Arial"/>
                <w:sz w:val="18"/>
                <w:szCs w:val="18"/>
                <w:color w:val="auto"/>
              </w:rPr>
              <w:t>US$(000)</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00" w:type="dxa"/>
            <w:vAlign w:val="bottom"/>
          </w:tcPr>
          <w:p>
            <w:pPr>
              <w:jc w:val="right"/>
              <w:spacing w:after="0"/>
              <w:rPr>
                <w:sz w:val="20"/>
                <w:szCs w:val="20"/>
                <w:color w:val="auto"/>
              </w:rPr>
            </w:pPr>
            <w:r>
              <w:rPr>
                <w:rFonts w:ascii="Arial" w:cs="Arial" w:eastAsia="Arial" w:hAnsi="Arial"/>
                <w:sz w:val="18"/>
                <w:szCs w:val="18"/>
                <w:color w:val="auto"/>
              </w:rPr>
              <w:t>8,582,855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8,582,855</w:t>
            </w:r>
          </w:p>
        </w:tc>
        <w:tc>
          <w:tcPr>
            <w:tcW w:w="980" w:type="dxa"/>
            <w:vAlign w:val="bottom"/>
          </w:tcPr>
          <w:p>
            <w:pPr>
              <w:jc w:val="right"/>
              <w:spacing w:after="0"/>
              <w:rPr>
                <w:sz w:val="20"/>
                <w:szCs w:val="20"/>
                <w:color w:val="auto"/>
              </w:rPr>
            </w:pPr>
            <w:r>
              <w:rPr>
                <w:rFonts w:ascii="Arial" w:cs="Arial" w:eastAsia="Arial" w:hAnsi="Arial"/>
                <w:sz w:val="18"/>
                <w:szCs w:val="18"/>
                <w:color w:val="auto"/>
              </w:rPr>
              <w:t>3,836,658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115,568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115,568</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70,774</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000" w:type="dxa"/>
            <w:vAlign w:val="bottom"/>
          </w:tcPr>
          <w:p>
            <w:pPr>
              <w:jc w:val="right"/>
              <w:spacing w:after="0"/>
              <w:rPr>
                <w:sz w:val="20"/>
                <w:szCs w:val="20"/>
                <w:color w:val="auto"/>
              </w:rPr>
            </w:pPr>
            <w:r>
              <w:rPr>
                <w:rFonts w:ascii="Arial" w:cs="Arial" w:eastAsia="Arial" w:hAnsi="Arial"/>
                <w:sz w:val="18"/>
                <w:szCs w:val="18"/>
                <w:color w:val="auto"/>
              </w:rPr>
              <w:t>3,768,248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3,768,248</w:t>
            </w:r>
          </w:p>
        </w:tc>
        <w:tc>
          <w:tcPr>
            <w:tcW w:w="980" w:type="dxa"/>
            <w:vAlign w:val="bottom"/>
          </w:tcPr>
          <w:p>
            <w:pPr>
              <w:jc w:val="right"/>
              <w:spacing w:after="0"/>
              <w:rPr>
                <w:sz w:val="20"/>
                <w:szCs w:val="20"/>
                <w:color w:val="auto"/>
              </w:rPr>
            </w:pPr>
            <w:r>
              <w:rPr>
                <w:rFonts w:ascii="Arial" w:cs="Arial" w:eastAsia="Arial" w:hAnsi="Arial"/>
                <w:sz w:val="18"/>
                <w:szCs w:val="18"/>
                <w:color w:val="auto"/>
              </w:rPr>
              <w:t>5,079,606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5,079,606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13,959,655</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3"/>
              </w:rPr>
              <w:t>13,969,223</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11,231,280</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11,253,024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000" w:type="dxa"/>
            <w:vAlign w:val="bottom"/>
          </w:tcPr>
          <w:p>
            <w:pPr>
              <w:jc w:val="right"/>
              <w:spacing w:after="0"/>
              <w:rPr>
                <w:sz w:val="20"/>
                <w:szCs w:val="20"/>
                <w:color w:val="auto"/>
              </w:rPr>
            </w:pPr>
            <w:r>
              <w:rPr>
                <w:rFonts w:ascii="Arial" w:cs="Arial" w:eastAsia="Arial" w:hAnsi="Arial"/>
                <w:sz w:val="18"/>
                <w:szCs w:val="18"/>
                <w:color w:val="auto"/>
              </w:rPr>
              <w:t>179,055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179,055</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135,670</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129,136</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129,136</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121,338</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000" w:type="dxa"/>
            <w:vAlign w:val="bottom"/>
          </w:tcPr>
          <w:p>
            <w:pPr>
              <w:jc w:val="right"/>
              <w:spacing w:after="0"/>
              <w:rPr>
                <w:sz w:val="20"/>
                <w:szCs w:val="20"/>
                <w:color w:val="auto"/>
              </w:rPr>
            </w:pPr>
            <w:r>
              <w:rPr>
                <w:rFonts w:ascii="Arial" w:cs="Arial" w:eastAsia="Arial" w:hAnsi="Arial"/>
                <w:sz w:val="18"/>
                <w:szCs w:val="18"/>
                <w:color w:val="auto"/>
              </w:rPr>
              <w:t>160,249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160,249</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137,098</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137,098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70,331</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70,331</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96,423</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415,656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415,656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405,747</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405,747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27,380,753</w:t>
            </w:r>
          </w:p>
        </w:tc>
        <w:tc>
          <w:tcPr>
            <w:tcW w:w="2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3"/>
              </w:rPr>
              <w:t>27,390,321</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21,114,594</w:t>
            </w:r>
          </w:p>
        </w:tc>
        <w:tc>
          <w:tcPr>
            <w:tcW w:w="10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21,136,338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18,068,118</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18,068,118</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14,085,098</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14,085,098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2,244,446</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2,237,532</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1,167,438</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70,331</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70,331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96,423</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60,775</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60,775</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48,009</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3,001,698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3,095,157</w:t>
            </w:r>
          </w:p>
        </w:tc>
        <w:tc>
          <w:tcPr>
            <w:tcW w:w="980" w:type="dxa"/>
            <w:vAlign w:val="bottom"/>
          </w:tcPr>
          <w:p>
            <w:pPr>
              <w:jc w:val="right"/>
              <w:spacing w:after="0"/>
              <w:rPr>
                <w:sz w:val="20"/>
                <w:szCs w:val="20"/>
                <w:color w:val="auto"/>
              </w:rPr>
            </w:pPr>
            <w:r>
              <w:rPr>
                <w:rFonts w:ascii="Arial" w:cs="Arial" w:eastAsia="Arial" w:hAnsi="Arial"/>
                <w:sz w:val="18"/>
                <w:szCs w:val="18"/>
                <w:color w:val="auto"/>
              </w:rPr>
              <w:t>2,382,973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2,420,949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635,583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635,583</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582,114</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582,114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24,080,951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24,167,496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18,362,055</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18,400,095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980" w:hanging="486"/>
        <w:spacing w:after="0"/>
        <w:tabs>
          <w:tab w:leader="none" w:pos="9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Determination of fair value and fair values hierarchy -</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The following table shows an analysis of financial instruments recorded at fair value by level of the fair value hierarchy:</w:t>
      </w:r>
    </w:p>
    <w:p>
      <w:pPr>
        <w:spacing w:after="0" w:line="218"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116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1</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2</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Level 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40" w:type="dxa"/>
            <w:vAlign w:val="bottom"/>
            <w:gridSpan w:val="2"/>
            <w:vMerge w:val="continue"/>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Note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65,090</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Held as hedges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19,855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11(b)</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84,945</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Trading securities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115,568</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Financial assets designated at fair value through</w:t>
            </w:r>
          </w:p>
        </w:tc>
        <w:tc>
          <w:tcPr>
            <w:tcW w:w="11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profit or loss</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7(a)</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179,055</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Investments available-for-sale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790,196</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2,380,811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18,427</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3,189,434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529,267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7,455</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540,515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5(a)</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1,319,463</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2,384,604</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25,882</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3,729,949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1,614,086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2,469,549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25,882</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4,109,517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Held for trading</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55,788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Held as hedges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80,882</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80,882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11(b)</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136,670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136,670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483" w:right="129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116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Level 1</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2</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Level 3</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40" w:type="dxa"/>
            <w:vAlign w:val="bottom"/>
            <w:gridSpan w:val="2"/>
            <w:vMerge w:val="continue"/>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color w:val="auto"/>
              </w:rPr>
              <w:t>Note</w:t>
            </w: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83,077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Held as hedges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11(b)</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97,341</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Trading securities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53,716</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17,058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Financial assets designated at fair value through</w:t>
            </w:r>
          </w:p>
        </w:tc>
        <w:tc>
          <w:tcPr>
            <w:tcW w:w="116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profit or loss</w:t>
            </w: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7(a)</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135,670</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Investments available-for-sale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1,490,567</w:t>
            </w:r>
          </w:p>
        </w:tc>
        <w:tc>
          <w:tcPr>
            <w:tcW w:w="2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3,164,273</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42,423</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4,697,263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Equity securities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301,420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22,058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7,255</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330,733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5(a)</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1,791,987</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3,186,331</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49,678</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5,027,996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1,981,373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3,300,730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49,678</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5,331,781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Held for trading</w:t>
            </w:r>
          </w:p>
        </w:tc>
        <w:tc>
          <w:tcPr>
            <w:tcW w:w="1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63,019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Held as hedges</w:t>
            </w:r>
          </w:p>
        </w:tc>
        <w:tc>
          <w:tcPr>
            <w:tcW w:w="11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104,830</w:t>
            </w: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104,830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shd w:val="clear" w:color="auto" w:fill="CCFFCC"/>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11(b)</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167,849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167,849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Included in the Level 1 category are financial assets that are measured in whole or in part by reference to published quotes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87"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Level 2 category are financial assets and liabilities measured using a valuation technique based on assumptions that are supported by prices from observable current market transactions, are assets and liabilities for which pricing is obtained via pricing services, but where prices have not been determined in an active market, financial assets with fair values based on broker quotes, investments in private equity funds with fair values obtained via fund managers and assets that are valued using the Group’s own models whereby the majority of assumptions are market observable.</w:t>
      </w:r>
    </w:p>
    <w:p>
      <w:pPr>
        <w:spacing w:after="0" w:line="154"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The Level 3 category are financial assets measured using a valuation technique (model) based on assumptions that are neither supported by prices from observable current market transactions in the same instrument nor are they based on available market data.</w:t>
      </w:r>
    </w:p>
    <w:p>
      <w:pPr>
        <w:spacing w:after="0" w:line="147"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As of December 31, 2010 and 2009, the net unrealized gain of Level 3 financial instruments amounts to US$2.8 million and US$3.6 million, respectively and the gross impairment recorded amounted to US$11.2 million and US$7.8 million, respectively. During 2010 and 2009, there were not transfer from Level 3 to Level 1 and Level 2 of financial instruments measured at fair value.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29.8.  Fiduciary activities, management of funds and pension funds -</w:t>
      </w:r>
    </w:p>
    <w:p>
      <w:pPr>
        <w:spacing w:after="0" w:line="27" w:lineRule="exact"/>
        <w:rPr>
          <w:sz w:val="20"/>
          <w:szCs w:val="20"/>
          <w:color w:val="auto"/>
        </w:rPr>
      </w:pPr>
    </w:p>
    <w:p>
      <w:pPr>
        <w:ind w:left="500"/>
        <w:spacing w:after="0" w:line="30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poor administration or under-performance.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December 31, 2010 and 2009, the assigned value of the financial assets under administration (in millions of U.S. Dollars) is as follows: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2,842.7</w:t>
            </w: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1,997.2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Pension funds</w:t>
            </w:r>
          </w:p>
        </w:tc>
        <w:tc>
          <w:tcPr>
            <w:tcW w:w="880" w:type="dxa"/>
            <w:vAlign w:val="bottom"/>
          </w:tcPr>
          <w:p>
            <w:pPr>
              <w:jc w:val="right"/>
              <w:spacing w:after="0"/>
              <w:rPr>
                <w:sz w:val="20"/>
                <w:szCs w:val="20"/>
                <w:color w:val="auto"/>
              </w:rPr>
            </w:pPr>
            <w:r>
              <w:rPr>
                <w:rFonts w:ascii="Arial" w:cs="Arial" w:eastAsia="Arial" w:hAnsi="Arial"/>
                <w:sz w:val="18"/>
                <w:szCs w:val="18"/>
                <w:color w:val="auto"/>
              </w:rPr>
              <w:t>9,674.9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3,694.</w:t>
            </w:r>
            <w:r>
              <w:rPr>
                <w:rFonts w:ascii="Arial" w:cs="Arial" w:eastAsia="Arial" w:hAnsi="Arial"/>
                <w:sz w:val="18"/>
                <w:szCs w:val="18"/>
                <w:u w:val="single" w:color="auto"/>
                <w:color w:val="auto"/>
              </w:rPr>
              <w:t>0</w:t>
            </w:r>
          </w:p>
        </w:tc>
        <w:tc>
          <w:tcPr>
            <w:tcW w:w="160" w:type="dxa"/>
            <w:vAlign w:val="bottom"/>
            <w:tcBorders>
              <w:bottom w:val="single" w:sz="8" w:color="CCFFCC"/>
            </w:tcBorders>
            <w:shd w:val="clear" w:color="auto" w:fill="CCFFCC"/>
          </w:tcPr>
          <w:p>
            <w:pPr>
              <w:spacing w:after="0"/>
              <w:rPr>
                <w:sz w:val="19"/>
                <w:szCs w:val="19"/>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2,902.</w:t>
            </w:r>
            <w:r>
              <w:rPr>
                <w:rFonts w:ascii="Arial" w:cs="Arial" w:eastAsia="Arial" w:hAnsi="Arial"/>
                <w:sz w:val="18"/>
                <w:szCs w:val="18"/>
                <w:u w:val="single" w:color="auto"/>
                <w:color w:val="auto"/>
              </w:rPr>
              <w:t>0</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16,211.</w:t>
            </w:r>
            <w:r>
              <w:rPr>
                <w:rFonts w:ascii="Arial" w:cs="Arial" w:eastAsia="Arial" w:hAnsi="Arial"/>
                <w:sz w:val="18"/>
                <w:szCs w:val="18"/>
                <w:u w:val="single" w:color="auto"/>
                <w:color w:val="auto"/>
              </w:rPr>
              <w:t>6</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11,482.</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83" w:right="519" w:bottom="1440" w:gutter="0" w:footer="0" w:header="0"/>
        </w:sectPr>
      </w:pPr>
    </w:p>
    <w:bookmarkStart w:id="244" w:name="page245"/>
    <w:bookmarkEnd w:id="244"/>
    <w:p>
      <w:pPr>
        <w:spacing w:after="0"/>
        <w:tabs>
          <w:tab w:leader="none" w:pos="960" w:val="left"/>
        </w:tabs>
        <w:rPr>
          <w:sz w:val="20"/>
          <w:szCs w:val="20"/>
          <w:color w:val="auto"/>
        </w:rPr>
      </w:pPr>
      <w:r>
        <w:rPr>
          <w:rFonts w:ascii="Arial" w:cs="Arial" w:eastAsia="Arial" w:hAnsi="Arial"/>
          <w:sz w:val="18"/>
          <w:szCs w:val="18"/>
          <w:color w:val="auto"/>
        </w:rPr>
        <w:t>ITEM 19.</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25" w:lineRule="exact"/>
        <w:rPr>
          <w:sz w:val="20"/>
          <w:szCs w:val="20"/>
          <w:color w:val="auto"/>
        </w:rPr>
      </w:pPr>
    </w:p>
    <w:p>
      <w:pPr>
        <w:ind w:left="1160" w:hanging="499"/>
        <w:spacing w:after="0" w:line="277" w:lineRule="auto"/>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660" w:right="820" w:hanging="4"/>
        <w:spacing w:after="0" w:line="530" w:lineRule="auto"/>
        <w:tabs>
          <w:tab w:leader="none" w:pos="11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 12.1 Certification by the Chief Executive Officer Pursuant to Section 302 of the U.S. Sarbanes-Oxley Act of 2002</w:t>
      </w:r>
    </w:p>
    <w:p>
      <w:pPr>
        <w:ind w:left="660"/>
        <w:spacing w:after="0"/>
        <w:rPr>
          <w:rFonts w:ascii="Arial" w:cs="Arial" w:eastAsia="Arial" w:hAnsi="Arial"/>
          <w:sz w:val="17"/>
          <w:szCs w:val="17"/>
          <w:color w:val="auto"/>
        </w:rPr>
      </w:pPr>
      <w:r>
        <w:rPr>
          <w:rFonts w:ascii="Arial" w:cs="Arial" w:eastAsia="Arial" w:hAnsi="Arial"/>
          <w:sz w:val="18"/>
          <w:szCs w:val="18"/>
          <w:color w:val="auto"/>
        </w:rPr>
        <w:t>12.2  Certification by the Chief Financial Officer Pursuant to Section 302 of the U.S. Sarbanes-Oxley Act of 2002</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13.1  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13.2  Certification by the Chief Financial Officer Pursuant to Section 906 of the U.S. Sarbanes-Oxley Act of 2002</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Alvaro Correa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2011</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ind w:left="50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25" w:lineRule="exact"/>
        <w:rPr>
          <w:sz w:val="20"/>
          <w:szCs w:val="20"/>
          <w:color w:val="auto"/>
        </w:rPr>
      </w:pPr>
    </w:p>
    <w:p>
      <w:pPr>
        <w:ind w:left="1160" w:hanging="661"/>
        <w:spacing w:after="0" w:line="277" w:lineRule="auto"/>
        <w:tabs>
          <w:tab w:leader="none" w:pos="1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500" w:right="820" w:hanging="6"/>
        <w:spacing w:after="0" w:line="530" w:lineRule="auto"/>
        <w:tabs>
          <w:tab w:leader="none" w:pos="1162" w:val="left"/>
        </w:tabs>
        <w:numPr>
          <w:ilvl w:val="0"/>
          <w:numId w:val="279"/>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 12.1 Certification by the Chief Executive Officer Pursuant to Section 302 of the U.S. Sarbanes-Oxley Act of 2002</w:t>
      </w:r>
    </w:p>
    <w:p>
      <w:pPr>
        <w:ind w:left="500"/>
        <w:spacing w:after="0"/>
        <w:rPr>
          <w:rFonts w:ascii="Arial" w:cs="Arial" w:eastAsia="Arial" w:hAnsi="Arial"/>
          <w:sz w:val="17"/>
          <w:szCs w:val="17"/>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and Accounting Officer Pursuant to Section 302 of the U.S. Sarbanes-Oxley Act of 2002</w:t>
      </w:r>
    </w:p>
    <w:p>
      <w:pPr>
        <w:spacing w:after="0" w:line="225"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and Accounting Officer Pursuant to Section 906 of the U.S. Sarbanes-Oxley Act of 2002</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t>Exhibit 12.1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52" w:lineRule="exact"/>
        <w:rPr>
          <w:sz w:val="20"/>
          <w:szCs w:val="20"/>
          <w:color w:val="auto"/>
        </w:rPr>
      </w:pPr>
    </w:p>
    <w:p>
      <w:pPr>
        <w:ind w:left="180" w:hanging="172"/>
        <w:spacing w:after="0"/>
        <w:tabs>
          <w:tab w:leader="none" w:pos="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jc w:val="both"/>
        <w:ind w:firstLine="8"/>
        <w:spacing w:after="0" w:line="264" w:lineRule="auto"/>
        <w:tabs>
          <w:tab w:leader="none" w:pos="1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8"/>
        <w:spacing w:after="0" w:line="277" w:lineRule="auto"/>
        <w:tabs>
          <w:tab w:leader="none" w:pos="189"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firstLine="8"/>
        <w:spacing w:after="0" w:line="308" w:lineRule="auto"/>
        <w:tabs>
          <w:tab w:leader="none" w:pos="21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firstLine="8"/>
        <w:spacing w:after="0" w:line="277" w:lineRule="auto"/>
        <w:tabs>
          <w:tab w:leader="none" w:pos="20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7" w:lineRule="exact"/>
        <w:rPr>
          <w:sz w:val="20"/>
          <w:szCs w:val="20"/>
          <w:color w:val="auto"/>
        </w:rPr>
      </w:pPr>
    </w:p>
    <w:p>
      <w:pPr>
        <w:ind w:firstLine="8"/>
        <w:spacing w:after="0" w:line="277" w:lineRule="auto"/>
        <w:tabs>
          <w:tab w:leader="none" w:pos="2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1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April 29,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Exhibit 12.2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52" w:lineRule="exact"/>
        <w:rPr>
          <w:sz w:val="20"/>
          <w:szCs w:val="20"/>
          <w:color w:val="auto"/>
        </w:rPr>
      </w:pPr>
    </w:p>
    <w:p>
      <w:pPr>
        <w:ind w:left="180" w:hanging="172"/>
        <w:spacing w:after="0"/>
        <w:tabs>
          <w:tab w:leader="none" w:pos="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jc w:val="both"/>
        <w:ind w:firstLine="8"/>
        <w:spacing w:after="0" w:line="264" w:lineRule="auto"/>
        <w:tabs>
          <w:tab w:leader="none" w:pos="1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20" w:firstLine="8"/>
        <w:spacing w:after="0" w:line="277" w:lineRule="auto"/>
        <w:tabs>
          <w:tab w:leader="none" w:pos="18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firstLine="8"/>
        <w:spacing w:after="0" w:line="308" w:lineRule="auto"/>
        <w:tabs>
          <w:tab w:leader="none" w:pos="21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firstLine="8"/>
        <w:spacing w:after="0" w:line="277" w:lineRule="auto"/>
        <w:tabs>
          <w:tab w:leader="none" w:pos="20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7" w:lineRule="exact"/>
        <w:rPr>
          <w:sz w:val="20"/>
          <w:szCs w:val="20"/>
          <w:color w:val="auto"/>
        </w:rPr>
      </w:pPr>
    </w:p>
    <w:p>
      <w:pPr>
        <w:ind w:firstLine="8"/>
        <w:spacing w:after="0" w:line="277" w:lineRule="auto"/>
        <w:tabs>
          <w:tab w:leader="none" w:pos="2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firstLine="8"/>
        <w:spacing w:after="0" w:line="277" w:lineRule="auto"/>
        <w:tabs>
          <w:tab w:leader="none" w:pos="2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April 29,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Exhibit 13.1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640" w:hanging="632"/>
        <w:spacing w:after="0"/>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 am the Chief Executive Officer of Credicorp Ltd.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72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2009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640" w:hanging="632"/>
        <w:spacing w:after="0"/>
        <w:tabs>
          <w:tab w:leader="none" w:pos="6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April 29,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 /s/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t>Exhibit 13.2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640" w:hanging="632"/>
        <w:spacing w:after="0"/>
        <w:tabs>
          <w:tab w:leader="none" w:pos="6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am the Chief Financial Officer of Credicorp Ltd.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72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2009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600" w:hanging="592"/>
        <w:spacing w:after="0"/>
        <w:tabs>
          <w:tab w:leader="none" w:pos="6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April 29, 2011</w:t>
      </w:r>
    </w:p>
    <w:p>
      <w:pPr>
        <w:spacing w:after="0" w:line="2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7D42D"/>
    <w:multiLevelType w:val="hybridMultilevel"/>
    <w:lvl w:ilvl="0">
      <w:lvlJc w:val="left"/>
      <w:lvlText w:val="☐"/>
      <w:numFmt w:val="bullet"/>
      <w:start w:val="1"/>
    </w:lvl>
  </w:abstractNum>
  <w:abstractNum w:abstractNumId="1">
    <w:nsid w:val="312167AD"/>
    <w:multiLevelType w:val="hybridMultilevel"/>
    <w:lvl w:ilvl="0">
      <w:lvlJc w:val="left"/>
      <w:lvlText w:val="☐"/>
      <w:numFmt w:val="bullet"/>
      <w:start w:val="1"/>
    </w:lvl>
  </w:abstractNum>
  <w:abstractNum w:abstractNumId="2">
    <w:nsid w:val="631B64D4"/>
    <w:multiLevelType w:val="hybridMultilevel"/>
    <w:lvl w:ilvl="0">
      <w:lvlJc w:val="left"/>
      <w:lvlText w:val="%1."/>
      <w:numFmt w:val="decimal"/>
      <w:start w:val="3"/>
    </w:lvl>
  </w:abstractNum>
  <w:abstractNum w:abstractNumId="3">
    <w:nsid w:val="78B5E776"/>
    <w:multiLevelType w:val="hybridMultilevel"/>
    <w:lvl w:ilvl="0">
      <w:lvlJc w:val="left"/>
      <w:lvlText w:val="•"/>
      <w:numFmt w:val="bullet"/>
      <w:start w:val="1"/>
    </w:lvl>
  </w:abstractNum>
  <w:abstractNum w:abstractNumId="4">
    <w:nsid w:val="75486E47"/>
    <w:multiLevelType w:val="hybridMultilevel"/>
    <w:lvl w:ilvl="0">
      <w:lvlJc w:val="left"/>
      <w:lvlText w:val="(%1)"/>
      <w:numFmt w:val="upperLetter"/>
      <w:start w:val="1"/>
    </w:lvl>
  </w:abstractNum>
  <w:abstractNum w:abstractNumId="5">
    <w:nsid w:val="6E534CDE"/>
    <w:multiLevelType w:val="hybridMultilevel"/>
    <w:lvl w:ilvl="0">
      <w:lvlJc w:val="left"/>
      <w:lvlText w:val="(%1)"/>
      <w:numFmt w:val="decimal"/>
      <w:start w:val="1"/>
    </w:lvl>
  </w:abstractNum>
  <w:abstractNum w:abstractNumId="6">
    <w:nsid w:val="1A0DDE32"/>
    <w:multiLevelType w:val="hybridMultilevel"/>
    <w:lvl w:ilvl="0">
      <w:lvlJc w:val="left"/>
      <w:lvlText w:val="(%1)"/>
      <w:numFmt w:val="decimal"/>
      <w:start w:val="10"/>
    </w:lvl>
  </w:abstractNum>
  <w:abstractNum w:abstractNumId="7">
    <w:nsid w:val="65968C1C"/>
    <w:multiLevelType w:val="hybridMultilevel"/>
    <w:lvl w:ilvl="0">
      <w:lvlJc w:val="left"/>
      <w:lvlText w:val="(%1)"/>
      <w:numFmt w:val="decimal"/>
      <w:start w:val="1"/>
    </w:lvl>
  </w:abstractNum>
  <w:abstractNum w:abstractNumId="8">
    <w:nsid w:val="46263DEC"/>
    <w:multiLevelType w:val="hybridMultilevel"/>
    <w:lvl w:ilvl="0">
      <w:lvlJc w:val="left"/>
      <w:lvlText w:val="(%1)"/>
      <w:numFmt w:val="decimal"/>
      <w:start w:val="1"/>
    </w:lvl>
  </w:abstractNum>
  <w:abstractNum w:abstractNumId="9">
    <w:nsid w:val="260D8C4A"/>
    <w:multiLevelType w:val="hybridMultilevel"/>
    <w:lvl w:ilvl="0">
      <w:lvlJc w:val="left"/>
      <w:lvlText w:val="(%1)"/>
      <w:numFmt w:val="upperLetter"/>
      <w:start w:val="2"/>
    </w:lvl>
  </w:abstractNum>
  <w:abstractNum w:abstractNumId="10">
    <w:nsid w:val="73D4D3C4"/>
    <w:multiLevelType w:val="hybridMultilevel"/>
    <w:lvl w:ilvl="0">
      <w:lvlJc w:val="left"/>
      <w:lvlText w:val="(%1)"/>
      <w:numFmt w:val="upperLetter"/>
      <w:start w:val="4"/>
    </w:lvl>
  </w:abstractNum>
  <w:abstractNum w:abstractNumId="11">
    <w:nsid w:val="746F2E30"/>
    <w:multiLevelType w:val="hybridMultilevel"/>
    <w:lvl w:ilvl="0">
      <w:lvlJc w:val="left"/>
      <w:lvlText w:val="•"/>
      <w:numFmt w:val="bullet"/>
      <w:start w:val="1"/>
    </w:lvl>
  </w:abstractNum>
  <w:abstractNum w:abstractNumId="12">
    <w:nsid w:val="6FDE8AF6"/>
    <w:multiLevelType w:val="hybridMultilevel"/>
    <w:lvl w:ilvl="0">
      <w:lvlJc w:val="left"/>
      <w:lvlText w:val="•"/>
      <w:numFmt w:val="bullet"/>
      <w:start w:val="1"/>
    </w:lvl>
  </w:abstractNum>
  <w:abstractNum w:abstractNumId="13">
    <w:nsid w:val="3FC32E20"/>
    <w:multiLevelType w:val="hybridMultilevel"/>
    <w:lvl w:ilvl="0">
      <w:lvlJc w:val="left"/>
      <w:lvlText w:val="(%1)"/>
      <w:numFmt w:val="upperLetter"/>
      <w:start w:val="1"/>
    </w:lvl>
  </w:abstractNum>
  <w:abstractNum w:abstractNumId="14">
    <w:nsid w:val="49C0E823"/>
    <w:multiLevelType w:val="hybridMultilevel"/>
    <w:lvl w:ilvl="0">
      <w:lvlJc w:val="left"/>
      <w:lvlText w:val="(%1)"/>
      <w:numFmt w:val="decimal"/>
      <w:start w:val="1"/>
    </w:lvl>
  </w:abstractNum>
  <w:abstractNum w:abstractNumId="15">
    <w:nsid w:val="14D53685"/>
    <w:multiLevelType w:val="hybridMultilevel"/>
    <w:lvl w:ilvl="0">
      <w:lvlJc w:val="left"/>
      <w:lvlText w:val="(%1)"/>
      <w:numFmt w:val="decimal"/>
      <w:start w:val="1"/>
    </w:lvl>
  </w:abstractNum>
  <w:abstractNum w:abstractNumId="16">
    <w:nsid w:val="230F856C"/>
    <w:multiLevelType w:val="hybridMultilevel"/>
    <w:lvl w:ilvl="0">
      <w:lvlJc w:val="left"/>
      <w:lvlText w:val="(%1)"/>
      <w:numFmt w:val="upperLetter"/>
      <w:start w:val="2"/>
    </w:lvl>
    <w:lvl w:ilvl="1">
      <w:lvlJc w:val="left"/>
      <w:lvlText w:val="(%2)"/>
      <w:numFmt w:val="decimal"/>
      <w:start w:val="1"/>
    </w:lvl>
  </w:abstractNum>
  <w:abstractNum w:abstractNumId="17">
    <w:nsid w:val="6EAA85FB"/>
    <w:multiLevelType w:val="hybridMultilevel"/>
    <w:lvl w:ilvl="0">
      <w:lvlJc w:val="left"/>
      <w:lvlText w:val="·"/>
      <w:numFmt w:val="bullet"/>
      <w:start w:val="1"/>
    </w:lvl>
  </w:abstractNum>
  <w:abstractNum w:abstractNumId="18">
    <w:nsid w:val="3F06ECB2"/>
    <w:multiLevelType w:val="hybridMultilevel"/>
    <w:lvl w:ilvl="0">
      <w:lvlJc w:val="left"/>
      <w:lvlText w:val="(%1)"/>
      <w:numFmt w:val="decimal"/>
      <w:start w:val="1"/>
    </w:lvl>
  </w:abstractNum>
  <w:abstractNum w:abstractNumId="19">
    <w:nsid w:val="3B594807"/>
    <w:multiLevelType w:val="hybridMultilevel"/>
    <w:lvl w:ilvl="0">
      <w:lvlJc w:val="left"/>
      <w:lvlText w:val="(%1)"/>
      <w:numFmt w:val="decimal"/>
      <w:start w:val="2"/>
    </w:lvl>
  </w:abstractNum>
  <w:abstractNum w:abstractNumId="20">
    <w:nsid w:val="6CAA2304"/>
    <w:multiLevelType w:val="hybridMultilevel"/>
    <w:lvl w:ilvl="0">
      <w:lvlJc w:val="left"/>
      <w:lvlText w:val="(%1)"/>
      <w:numFmt w:val="decimal"/>
      <w:start w:val="3"/>
    </w:lvl>
  </w:abstractNum>
  <w:abstractNum w:abstractNumId="21">
    <w:nsid w:val="3F7C2FF4"/>
    <w:multiLevelType w:val="hybridMultilevel"/>
    <w:lvl w:ilvl="0">
      <w:lvlJc w:val="left"/>
      <w:lvlText w:val="•"/>
      <w:numFmt w:val="bullet"/>
      <w:start w:val="1"/>
    </w:lvl>
  </w:abstractNum>
  <w:abstractNum w:abstractNumId="22">
    <w:nsid w:val="25413BEC"/>
    <w:multiLevelType w:val="hybridMultilevel"/>
    <w:lvl w:ilvl="0">
      <w:lvlJc w:val="left"/>
      <w:lvlText w:val="•"/>
      <w:numFmt w:val="bullet"/>
      <w:start w:val="1"/>
    </w:lvl>
  </w:abstractNum>
  <w:abstractNum w:abstractNumId="23">
    <w:nsid w:val="17180B0B"/>
    <w:multiLevelType w:val="hybridMultilevel"/>
    <w:lvl w:ilvl="0">
      <w:lvlJc w:val="left"/>
      <w:lvlText w:val="(%1)"/>
      <w:numFmt w:val="decimal"/>
      <w:start w:val="4"/>
    </w:lvl>
  </w:abstractNum>
  <w:abstractNum w:abstractNumId="24">
    <w:nsid w:val="579328B9"/>
    <w:multiLevelType w:val="hybridMultilevel"/>
    <w:lvl w:ilvl="0">
      <w:lvlJc w:val="left"/>
      <w:lvlText w:val="(%1)"/>
      <w:numFmt w:val="lowerRoman"/>
      <w:start w:val="1"/>
    </w:lvl>
  </w:abstractNum>
  <w:abstractNum w:abstractNumId="25">
    <w:nsid w:val="5D205E20"/>
    <w:multiLevelType w:val="hybridMultilevel"/>
    <w:lvl w:ilvl="0">
      <w:lvlJc w:val="left"/>
      <w:lvlText w:val="•"/>
      <w:numFmt w:val="bullet"/>
      <w:start w:val="1"/>
    </w:lvl>
  </w:abstractNum>
  <w:abstractNum w:abstractNumId="26">
    <w:nsid w:val="11CCA8BA"/>
    <w:multiLevelType w:val="hybridMultilevel"/>
    <w:lvl w:ilvl="0">
      <w:lvlJc w:val="left"/>
      <w:lvlText w:val="•"/>
      <w:numFmt w:val="bullet"/>
      <w:start w:val="1"/>
    </w:lvl>
  </w:abstractNum>
  <w:abstractNum w:abstractNumId="27">
    <w:nsid w:val="4D32AB86"/>
    <w:multiLevelType w:val="hybridMultilevel"/>
    <w:lvl w:ilvl="0">
      <w:lvlJc w:val="left"/>
      <w:lvlText w:val="(%1)"/>
      <w:numFmt w:val="lowerRoman"/>
      <w:start w:val="2"/>
    </w:lvl>
  </w:abstractNum>
  <w:abstractNum w:abstractNumId="28">
    <w:nsid w:val="3F07ACC3"/>
    <w:multiLevelType w:val="hybridMultilevel"/>
    <w:lvl w:ilvl="0">
      <w:lvlJc w:val="left"/>
      <w:lvlText w:val="•"/>
      <w:numFmt w:val="bullet"/>
      <w:start w:val="1"/>
    </w:lvl>
  </w:abstractNum>
  <w:abstractNum w:abstractNumId="29">
    <w:nsid w:val="6B47F63E"/>
    <w:multiLevelType w:val="hybridMultilevel"/>
    <w:lvl w:ilvl="0">
      <w:lvlJc w:val="left"/>
      <w:lvlText w:val="•"/>
      <w:numFmt w:val="bullet"/>
      <w:start w:val="1"/>
    </w:lvl>
  </w:abstractNum>
  <w:abstractNum w:abstractNumId="30">
    <w:nsid w:val="5CB44A05"/>
    <w:multiLevelType w:val="hybridMultilevel"/>
    <w:lvl w:ilvl="0">
      <w:lvlJc w:val="left"/>
      <w:lvlText w:val="•"/>
      <w:numFmt w:val="bullet"/>
      <w:start w:val="1"/>
    </w:lvl>
  </w:abstractNum>
  <w:abstractNum w:abstractNumId="31">
    <w:nsid w:val="16CF80F1"/>
    <w:multiLevelType w:val="hybridMultilevel"/>
    <w:lvl w:ilvl="0">
      <w:lvlJc w:val="left"/>
      <w:lvlText w:val="•"/>
      <w:numFmt w:val="bullet"/>
      <w:start w:val="1"/>
    </w:lvl>
  </w:abstractNum>
  <w:abstractNum w:abstractNumId="32">
    <w:nsid w:val="1C695DEC"/>
    <w:multiLevelType w:val="hybridMultilevel"/>
    <w:lvl w:ilvl="0">
      <w:lvlJc w:val="left"/>
      <w:lvlText w:val="•"/>
      <w:numFmt w:val="bullet"/>
      <w:start w:val="1"/>
    </w:lvl>
  </w:abstractNum>
  <w:abstractNum w:abstractNumId="33">
    <w:nsid w:val="3FCFAED9"/>
    <w:multiLevelType w:val="hybridMultilevel"/>
    <w:lvl w:ilvl="0">
      <w:lvlJc w:val="left"/>
      <w:lvlText w:val="(%1)"/>
      <w:numFmt w:val="lowerRoman"/>
      <w:start w:val="3"/>
    </w:lvl>
  </w:abstractNum>
  <w:abstractNum w:abstractNumId="34">
    <w:nsid w:val="F856867"/>
    <w:multiLevelType w:val="hybridMultilevel"/>
    <w:lvl w:ilvl="0">
      <w:lvlJc w:val="left"/>
      <w:lvlText w:val="·"/>
      <w:numFmt w:val="bullet"/>
      <w:start w:val="1"/>
    </w:lvl>
  </w:abstractNum>
  <w:abstractNum w:abstractNumId="35">
    <w:nsid w:val="11B1CC33"/>
    <w:multiLevelType w:val="hybridMultilevel"/>
    <w:lvl w:ilvl="0">
      <w:lvlJc w:val="left"/>
      <w:lvlText w:val="(%1)"/>
      <w:numFmt w:val="lowerRoman"/>
      <w:start w:val="4"/>
    </w:lvl>
  </w:abstractNum>
  <w:abstractNum w:abstractNumId="36">
    <w:nsid w:val="2E22FBB7"/>
    <w:multiLevelType w:val="hybridMultilevel"/>
    <w:lvl w:ilvl="0">
      <w:lvlJc w:val="left"/>
      <w:lvlText w:val="·"/>
      <w:numFmt w:val="bullet"/>
      <w:start w:val="1"/>
    </w:lvl>
  </w:abstractNum>
  <w:abstractNum w:abstractNumId="37">
    <w:nsid w:val="29934699"/>
    <w:multiLevelType w:val="hybridMultilevel"/>
    <w:lvl w:ilvl="0">
      <w:lvlJc w:val="left"/>
      <w:lvlText w:val="(%1)"/>
      <w:numFmt w:val="lowerRoman"/>
      <w:start w:val="5"/>
    </w:lvl>
  </w:abstractNum>
  <w:abstractNum w:abstractNumId="38">
    <w:nsid w:val="77485850"/>
    <w:multiLevelType w:val="hybridMultilevel"/>
    <w:lvl w:ilvl="0">
      <w:lvlJc w:val="left"/>
      <w:lvlText w:val="(%1)"/>
      <w:numFmt w:val="decimal"/>
      <w:start w:val="1"/>
    </w:lvl>
  </w:abstractNum>
  <w:abstractNum w:abstractNumId="39">
    <w:nsid w:val="744939A3"/>
    <w:multiLevelType w:val="hybridMultilevel"/>
    <w:lvl w:ilvl="0">
      <w:lvlJc w:val="left"/>
      <w:lvlText w:val="(%1)"/>
      <w:numFmt w:val="lowerRoman"/>
      <w:start w:val="6"/>
    </w:lvl>
  </w:abstractNum>
  <w:abstractNum w:abstractNumId="40">
    <w:nsid w:val="4FA0D2E3"/>
    <w:multiLevelType w:val="hybridMultilevel"/>
    <w:lvl w:ilvl="0">
      <w:lvlJc w:val="left"/>
      <w:lvlText w:val="(%1)"/>
      <w:numFmt w:val="lowerRoman"/>
      <w:start w:val="7"/>
    </w:lvl>
  </w:abstractNum>
  <w:abstractNum w:abstractNumId="41">
    <w:nsid w:val="6B1D2C14"/>
    <w:multiLevelType w:val="hybridMultilevel"/>
    <w:lvl w:ilvl="0">
      <w:lvlJc w:val="left"/>
      <w:lvlText w:val="·"/>
      <w:numFmt w:val="bullet"/>
      <w:start w:val="1"/>
    </w:lvl>
  </w:abstractNum>
  <w:abstractNum w:abstractNumId="42">
    <w:nsid w:val="68B867D3"/>
    <w:multiLevelType w:val="hybridMultilevel"/>
    <w:lvl w:ilvl="0">
      <w:lvlJc w:val="left"/>
      <w:lvlText w:val="(%1)"/>
      <w:numFmt w:val="lowerRoman"/>
      <w:start w:val="8"/>
    </w:lvl>
  </w:abstractNum>
  <w:abstractNum w:abstractNumId="43">
    <w:nsid w:val="3F7F5DD9"/>
    <w:multiLevelType w:val="hybridMultilevel"/>
    <w:lvl w:ilvl="0">
      <w:lvlJc w:val="left"/>
      <w:lvlText w:val="(%1)"/>
      <w:numFmt w:val="lowerRoman"/>
      <w:start w:val="9"/>
    </w:lvl>
  </w:abstractNum>
  <w:abstractNum w:abstractNumId="44">
    <w:nsid w:val="2AE05A34"/>
    <w:multiLevelType w:val="hybridMultilevel"/>
    <w:lvl w:ilvl="0">
      <w:lvlJc w:val="left"/>
      <w:lvlText w:val="(%1)"/>
      <w:numFmt w:val="decimal"/>
      <w:start w:val="5"/>
    </w:lvl>
  </w:abstractNum>
  <w:abstractNum w:abstractNumId="45">
    <w:nsid w:val="32794FF7"/>
    <w:multiLevelType w:val="hybridMultilevel"/>
    <w:lvl w:ilvl="0">
      <w:lvlJc w:val="left"/>
      <w:lvlText w:val="(%1)"/>
      <w:numFmt w:val="decimal"/>
      <w:start w:val="6"/>
    </w:lvl>
  </w:abstractNum>
  <w:abstractNum w:abstractNumId="46">
    <w:nsid w:val="5454945E"/>
    <w:multiLevelType w:val="hybridMultilevel"/>
    <w:lvl w:ilvl="0">
      <w:lvlJc w:val="left"/>
      <w:lvlText w:val="(%1)"/>
      <w:numFmt w:val="lowerRoman"/>
      <w:start w:val="1"/>
    </w:lvl>
  </w:abstractNum>
  <w:abstractNum w:abstractNumId="47">
    <w:nsid w:val="4DEFDFA0"/>
    <w:multiLevelType w:val="hybridMultilevel"/>
    <w:lvl w:ilvl="0">
      <w:lvlJc w:val="left"/>
      <w:lvlText w:val="(%1)"/>
      <w:numFmt w:val="lowerRoman"/>
      <w:start w:val="2"/>
    </w:lvl>
  </w:abstractNum>
  <w:abstractNum w:abstractNumId="48">
    <w:nsid w:val="2123D5F2"/>
    <w:multiLevelType w:val="hybridMultilevel"/>
    <w:lvl w:ilvl="0">
      <w:lvlJc w:val="left"/>
      <w:lvlText w:val="(%1)"/>
      <w:numFmt w:val="lowerRoman"/>
      <w:start w:val="3"/>
    </w:lvl>
  </w:abstractNum>
  <w:abstractNum w:abstractNumId="49">
    <w:nsid w:val="135B8110"/>
    <w:multiLevelType w:val="hybridMultilevel"/>
    <w:lvl w:ilvl="0">
      <w:lvlJc w:val="left"/>
      <w:lvlText w:val="(%1)"/>
      <w:numFmt w:val="lowerRoman"/>
      <w:start w:val="1"/>
    </w:lvl>
  </w:abstractNum>
  <w:abstractNum w:abstractNumId="50">
    <w:nsid w:val="94927A8"/>
    <w:multiLevelType w:val="hybridMultilevel"/>
    <w:lvl w:ilvl="0">
      <w:lvlJc w:val="left"/>
      <w:lvlText w:val="(%1)"/>
      <w:numFmt w:val="decimal"/>
      <w:start w:val="7"/>
    </w:lvl>
  </w:abstractNum>
  <w:abstractNum w:abstractNumId="51">
    <w:nsid w:val="DCDF8F6"/>
    <w:multiLevelType w:val="hybridMultilevel"/>
    <w:lvl w:ilvl="0">
      <w:lvlJc w:val="left"/>
      <w:lvlText w:val="(%1)"/>
      <w:numFmt w:val="decimal"/>
      <w:start w:val="8"/>
    </w:lvl>
  </w:abstractNum>
  <w:abstractNum w:abstractNumId="52">
    <w:nsid w:val="52D7B105"/>
    <w:multiLevelType w:val="hybridMultilevel"/>
    <w:lvl w:ilvl="0">
      <w:lvlJc w:val="left"/>
      <w:lvlText w:val="(%1)"/>
      <w:numFmt w:val="lowerRoman"/>
      <w:start w:val="1"/>
    </w:lvl>
  </w:abstractNum>
  <w:abstractNum w:abstractNumId="53">
    <w:nsid w:val="2E8A6394"/>
    <w:multiLevelType w:val="hybridMultilevel"/>
    <w:lvl w:ilvl="0">
      <w:lvlJc w:val="left"/>
      <w:lvlText w:val="(%1)"/>
      <w:numFmt w:val="lowerRoman"/>
      <w:start w:val="2"/>
    </w:lvl>
  </w:abstractNum>
  <w:abstractNum w:abstractNumId="54">
    <w:nsid w:val="24E60401"/>
    <w:multiLevelType w:val="hybridMultilevel"/>
    <w:lvl w:ilvl="0">
      <w:lvlJc w:val="left"/>
      <w:lvlText w:val="(%1)"/>
      <w:numFmt w:val="lowerRoman"/>
      <w:start w:val="3"/>
    </w:lvl>
  </w:abstractNum>
  <w:abstractNum w:abstractNumId="55">
    <w:nsid w:val="2A6AD9BE"/>
    <w:multiLevelType w:val="hybridMultilevel"/>
    <w:lvl w:ilvl="0">
      <w:lvlJc w:val="left"/>
      <w:lvlText w:val="(%1)"/>
      <w:numFmt w:val="lowerRoman"/>
      <w:start w:val="4"/>
    </w:lvl>
  </w:abstractNum>
  <w:abstractNum w:abstractNumId="56">
    <w:nsid w:val="BAAC1B4"/>
    <w:multiLevelType w:val="hybridMultilevel"/>
    <w:lvl w:ilvl="0">
      <w:lvlJc w:val="left"/>
      <w:lvlText w:val="(%1)"/>
      <w:numFmt w:val="decimal"/>
      <w:start w:val="9"/>
    </w:lvl>
  </w:abstractNum>
  <w:abstractNum w:abstractNumId="57">
    <w:nsid w:val="36B2ACBC"/>
    <w:multiLevelType w:val="hybridMultilevel"/>
    <w:lvl w:ilvl="0">
      <w:lvlJc w:val="left"/>
      <w:lvlText w:val="(%1)"/>
      <w:numFmt w:val="lowerRoman"/>
      <w:start w:val="1"/>
    </w:lvl>
  </w:abstractNum>
  <w:abstractNum w:abstractNumId="58">
    <w:nsid w:val="779D8544"/>
    <w:multiLevelType w:val="hybridMultilevel"/>
    <w:lvl w:ilvl="0">
      <w:lvlJc w:val="left"/>
      <w:lvlText w:val="%1."/>
      <w:numFmt w:val="decimal"/>
      <w:start w:val="3"/>
    </w:lvl>
  </w:abstractNum>
  <w:abstractNum w:abstractNumId="59">
    <w:nsid w:val="4AB26E78"/>
    <w:multiLevelType w:val="hybridMultilevel"/>
    <w:lvl w:ilvl="0">
      <w:lvlJc w:val="left"/>
      <w:lvlText w:val="(%1)"/>
      <w:numFmt w:val="lowerRoman"/>
      <w:start w:val="2"/>
    </w:lvl>
  </w:abstractNum>
  <w:abstractNum w:abstractNumId="60">
    <w:nsid w:val="21FAA2FA"/>
    <w:multiLevelType w:val="hybridMultilevel"/>
    <w:lvl w:ilvl="0">
      <w:lvlJc w:val="left"/>
      <w:lvlText w:val="(%1)"/>
      <w:numFmt w:val="decimal"/>
      <w:start w:val="10"/>
    </w:lvl>
  </w:abstractNum>
  <w:abstractNum w:abstractNumId="61">
    <w:nsid w:val="5451CF49"/>
    <w:multiLevelType w:val="hybridMultilevel"/>
    <w:lvl w:ilvl="0">
      <w:lvlJc w:val="left"/>
      <w:lvlText w:val="(%1)"/>
      <w:numFmt w:val="lowerRoman"/>
      <w:start w:val="1"/>
    </w:lvl>
  </w:abstractNum>
  <w:abstractNum w:abstractNumId="62">
    <w:nsid w:val="6181EF69"/>
    <w:multiLevelType w:val="hybridMultilevel"/>
    <w:lvl w:ilvl="0">
      <w:lvlJc w:val="left"/>
      <w:lvlText w:val="(%1)"/>
      <w:numFmt w:val="lowerRoman"/>
      <w:start w:val="2"/>
    </w:lvl>
  </w:abstractNum>
  <w:abstractNum w:abstractNumId="63">
    <w:nsid w:val="3E6400E6"/>
    <w:multiLevelType w:val="hybridMultilevel"/>
    <w:lvl w:ilvl="0">
      <w:lvlJc w:val="left"/>
      <w:lvlText w:val="(%1)"/>
      <w:numFmt w:val="lowerRoman"/>
      <w:start w:val="3"/>
    </w:lvl>
  </w:abstractNum>
  <w:abstractNum w:abstractNumId="64">
    <w:nsid w:val="14217E23"/>
    <w:multiLevelType w:val="hybridMultilevel"/>
    <w:lvl w:ilvl="0">
      <w:lvlJc w:val="left"/>
      <w:lvlText w:val="(%1)"/>
      <w:numFmt w:val="lowerRoman"/>
      <w:start w:val="4"/>
    </w:lvl>
  </w:abstractNum>
  <w:abstractNum w:abstractNumId="65">
    <w:nsid w:val="710757D0"/>
    <w:multiLevelType w:val="hybridMultilevel"/>
    <w:lvl w:ilvl="0">
      <w:lvlJc w:val="left"/>
      <w:lvlText w:val="(%1)"/>
      <w:numFmt w:val="decimal"/>
      <w:start w:val="11"/>
    </w:lvl>
  </w:abstractNum>
  <w:abstractNum w:abstractNumId="66">
    <w:nsid w:val="5015CD1A"/>
    <w:multiLevelType w:val="hybridMultilevel"/>
    <w:lvl w:ilvl="0">
      <w:lvlJc w:val="left"/>
      <w:lvlText w:val="(%1)"/>
      <w:numFmt w:val="lowerRoman"/>
      <w:start w:val="1"/>
    </w:lvl>
  </w:abstractNum>
  <w:abstractNum w:abstractNumId="67">
    <w:nsid w:val="424479DA"/>
    <w:multiLevelType w:val="hybridMultilevel"/>
    <w:lvl w:ilvl="0">
      <w:lvlJc w:val="left"/>
      <w:lvlText w:val="(%1)"/>
      <w:numFmt w:val="lowerRoman"/>
      <w:start w:val="2"/>
    </w:lvl>
  </w:abstractNum>
  <w:abstractNum w:abstractNumId="68">
    <w:nsid w:val="1A9A9E69"/>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69">
    <w:nsid w:val="475E256A"/>
    <w:multiLevelType w:val="hybridMultilevel"/>
    <w:lvl w:ilvl="0">
      <w:lvlJc w:val="left"/>
      <w:lvlText w:val="(%1)"/>
      <w:numFmt w:val="lowerRoman"/>
      <w:start w:val="3"/>
    </w:lvl>
  </w:abstractNum>
  <w:abstractNum w:abstractNumId="70">
    <w:nsid w:val="368DB37E"/>
    <w:multiLevelType w:val="hybridMultilevel"/>
    <w:lvl w:ilvl="0">
      <w:lvlJc w:val="left"/>
      <w:lvlText w:val="(%1)"/>
      <w:numFmt w:val="lowerRoman"/>
      <w:start w:val="3"/>
    </w:lvl>
  </w:abstractNum>
  <w:abstractNum w:abstractNumId="71">
    <w:nsid w:val="6A3B714C"/>
    <w:multiLevelType w:val="hybridMultilevel"/>
    <w:lvl w:ilvl="0">
      <w:lvlJc w:val="left"/>
      <w:lvlText w:val="(%1)"/>
      <w:numFmt w:val="lowerRoman"/>
      <w:start w:val="4"/>
    </w:lvl>
  </w:abstractNum>
  <w:abstractNum w:abstractNumId="72">
    <w:nsid w:val="327B517E"/>
    <w:multiLevelType w:val="hybridMultilevel"/>
    <w:lvl w:ilvl="0">
      <w:lvlJc w:val="left"/>
      <w:lvlText w:val="·"/>
      <w:numFmt w:val="bullet"/>
      <w:start w:val="1"/>
    </w:lvl>
    <w:lvl w:ilvl="1">
      <w:lvlJc w:val="left"/>
      <w:lvlText w:val="(%2)"/>
      <w:numFmt w:val="lowerRoman"/>
      <w:start w:val="5"/>
    </w:lvl>
  </w:abstractNum>
  <w:abstractNum w:abstractNumId="73">
    <w:nsid w:val="1F461B51"/>
    <w:multiLevelType w:val="hybridMultilevel"/>
    <w:lvl w:ilvl="0">
      <w:lvlJc w:val="left"/>
      <w:lvlText w:val="(%1)"/>
      <w:numFmt w:val="lowerRoman"/>
      <w:start w:val="6"/>
    </w:lvl>
  </w:abstractNum>
  <w:abstractNum w:abstractNumId="74">
    <w:nsid w:val="29BACF25"/>
    <w:multiLevelType w:val="hybridMultilevel"/>
    <w:lvl w:ilvl="0">
      <w:lvlJc w:val="left"/>
      <w:lvlText w:val="·"/>
      <w:numFmt w:val="bullet"/>
      <w:start w:val="1"/>
    </w:lvl>
  </w:abstractNum>
  <w:abstractNum w:abstractNumId="75">
    <w:nsid w:val="5D5BABB3"/>
    <w:multiLevelType w:val="hybridMultilevel"/>
    <w:lvl w:ilvl="0">
      <w:lvlJc w:val="left"/>
      <w:lvlText w:val="(%1)"/>
      <w:numFmt w:val="decimal"/>
      <w:start w:val="12"/>
    </w:lvl>
  </w:abstractNum>
  <w:abstractNum w:abstractNumId="76">
    <w:nsid w:val="51BF6B48"/>
    <w:multiLevelType w:val="hybridMultilevel"/>
    <w:lvl w:ilvl="0">
      <w:lvlJc w:val="left"/>
      <w:lvlText w:val="(%1)"/>
      <w:numFmt w:val="lowerRoman"/>
      <w:start w:val="1"/>
    </w:lvl>
  </w:abstractNum>
  <w:abstractNum w:abstractNumId="77">
    <w:nsid w:val="7E0F6384"/>
    <w:multiLevelType w:val="hybridMultilevel"/>
    <w:lvl w:ilvl="0">
      <w:lvlJc w:val="left"/>
      <w:lvlText w:val="(%1)"/>
      <w:numFmt w:val="decimal"/>
      <w:start w:val="1"/>
    </w:lvl>
  </w:abstractNum>
  <w:abstractNum w:abstractNumId="78">
    <w:nsid w:val="2B4B8B53"/>
    <w:multiLevelType w:val="hybridMultilevel"/>
    <w:lvl w:ilvl="0">
      <w:lvlJc w:val="left"/>
      <w:lvlText w:val="(%1)"/>
      <w:numFmt w:val="decimal"/>
      <w:start w:val="1"/>
    </w:lvl>
  </w:abstractNum>
  <w:abstractNum w:abstractNumId="79">
    <w:nsid w:val="72E3413A"/>
    <w:multiLevelType w:val="hybridMultilevel"/>
    <w:lvl w:ilvl="0">
      <w:lvlJc w:val="left"/>
      <w:lvlText w:val="(%1)"/>
      <w:numFmt w:val="decimal"/>
      <w:start w:val="1"/>
    </w:lvl>
  </w:abstractNum>
  <w:abstractNum w:abstractNumId="80">
    <w:nsid w:val="116AE494"/>
    <w:multiLevelType w:val="hybridMultilevel"/>
    <w:lvl w:ilvl="0">
      <w:lvlJc w:val="left"/>
      <w:lvlText w:val="(%1)"/>
      <w:numFmt w:val="decimal"/>
      <w:start w:val="1"/>
    </w:lvl>
  </w:abstractNum>
  <w:abstractNum w:abstractNumId="81">
    <w:nsid w:val="3494B2FB"/>
    <w:multiLevelType w:val="hybridMultilevel"/>
    <w:lvl w:ilvl="0">
      <w:lvlJc w:val="left"/>
      <w:lvlText w:val="(%1)"/>
      <w:numFmt w:val="lowerRoman"/>
      <w:start w:val="2"/>
    </w:lvl>
  </w:abstractNum>
  <w:abstractNum w:abstractNumId="82">
    <w:nsid w:val="B13A31"/>
    <w:multiLevelType w:val="hybridMultilevel"/>
    <w:lvl w:ilvl="0">
      <w:lvlJc w:val="left"/>
      <w:lvlText w:val="(%1)"/>
      <w:numFmt w:val="decimal"/>
      <w:start w:val="1"/>
    </w:lvl>
  </w:abstractNum>
  <w:abstractNum w:abstractNumId="83">
    <w:nsid w:val="64429599"/>
    <w:multiLevelType w:val="hybridMultilevel"/>
    <w:lvl w:ilvl="0">
      <w:lvlJc w:val="left"/>
      <w:lvlText w:val="•"/>
      <w:numFmt w:val="bullet"/>
      <w:start w:val="1"/>
    </w:lvl>
  </w:abstractNum>
  <w:abstractNum w:abstractNumId="84">
    <w:nsid w:val="631F1690"/>
    <w:multiLevelType w:val="hybridMultilevel"/>
    <w:lvl w:ilvl="0">
      <w:lvlJc w:val="left"/>
      <w:lvlText w:val="•"/>
      <w:numFmt w:val="bullet"/>
      <w:start w:val="1"/>
    </w:lvl>
  </w:abstractNum>
  <w:abstractNum w:abstractNumId="85">
    <w:nsid w:val="25973E32"/>
    <w:multiLevelType w:val="hybridMultilevel"/>
    <w:lvl w:ilvl="0">
      <w:lvlJc w:val="left"/>
      <w:lvlText w:val="•"/>
      <w:numFmt w:val="bullet"/>
      <w:start w:val="1"/>
    </w:lvl>
  </w:abstractNum>
  <w:abstractNum w:abstractNumId="86">
    <w:nsid w:val="EAD6F57"/>
    <w:multiLevelType w:val="hybridMultilevel"/>
    <w:lvl w:ilvl="0">
      <w:lvlJc w:val="left"/>
      <w:lvlText w:val="(%1)"/>
      <w:numFmt w:val="lowerRoman"/>
      <w:start w:val="3"/>
    </w:lvl>
  </w:abstractNum>
  <w:abstractNum w:abstractNumId="87">
    <w:nsid w:val="6EC9D844"/>
    <w:multiLevelType w:val="hybridMultilevel"/>
    <w:lvl w:ilvl="0">
      <w:lvlJc w:val="left"/>
      <w:lvlText w:val="•"/>
      <w:numFmt w:val="bullet"/>
      <w:start w:val="1"/>
    </w:lvl>
  </w:abstractNum>
  <w:abstractNum w:abstractNumId="88">
    <w:nsid w:val="5C49EAEE"/>
    <w:multiLevelType w:val="hybridMultilevel"/>
    <w:lvl w:ilvl="0">
      <w:lvlJc w:val="left"/>
      <w:lvlText w:val="•"/>
      <w:numFmt w:val="bullet"/>
      <w:start w:val="1"/>
    </w:lvl>
  </w:abstractNum>
  <w:abstractNum w:abstractNumId="89">
    <w:nsid w:val="64AF49B"/>
    <w:multiLevelType w:val="hybridMultilevel"/>
    <w:lvl w:ilvl="0">
      <w:lvlJc w:val="left"/>
      <w:lvlText w:val="(%1)"/>
      <w:numFmt w:val="decimal"/>
      <w:start w:val="1"/>
    </w:lvl>
  </w:abstractNum>
  <w:abstractNum w:abstractNumId="90">
    <w:nsid w:val="397C46BC"/>
    <w:multiLevelType w:val="hybridMultilevel"/>
    <w:lvl w:ilvl="0">
      <w:lvlJc w:val="left"/>
      <w:lvlText w:val="(%1)"/>
      <w:numFmt w:val="decimal"/>
      <w:start w:val="1"/>
    </w:lvl>
  </w:abstractNum>
  <w:abstractNum w:abstractNumId="91">
    <w:nsid w:val="7E448DE9"/>
    <w:multiLevelType w:val="hybridMultilevel"/>
    <w:lvl w:ilvl="0">
      <w:lvlJc w:val="left"/>
      <w:lvlText w:val="(%1)"/>
      <w:numFmt w:val="decimal"/>
      <w:start w:val="1"/>
    </w:lvl>
  </w:abstractNum>
  <w:abstractNum w:abstractNumId="92">
    <w:nsid w:val="5A9CC3E5"/>
    <w:multiLevelType w:val="hybridMultilevel"/>
    <w:lvl w:ilvl="0">
      <w:lvlJc w:val="left"/>
      <w:lvlText w:val="(%1)"/>
      <w:numFmt w:val="decimal"/>
      <w:start w:val="1"/>
    </w:lvl>
  </w:abstractNum>
  <w:abstractNum w:abstractNumId="93">
    <w:nsid w:val="1AFE3625"/>
    <w:multiLevelType w:val="hybridMultilevel"/>
    <w:lvl w:ilvl="0">
      <w:lvlJc w:val="left"/>
      <w:lvlText w:val="(%1)"/>
      <w:numFmt w:val="decimal"/>
      <w:start w:val="1"/>
    </w:lvl>
  </w:abstractNum>
  <w:abstractNum w:abstractNumId="94">
    <w:nsid w:val="3CA88ECF"/>
    <w:multiLevelType w:val="hybridMultilevel"/>
    <w:lvl w:ilvl="0">
      <w:lvlJc w:val="left"/>
      <w:lvlText w:val="(%1)"/>
      <w:numFmt w:val="decimal"/>
      <w:start w:val="1"/>
    </w:lvl>
  </w:abstractNum>
  <w:abstractNum w:abstractNumId="95">
    <w:nsid w:val="6EBE4208"/>
    <w:multiLevelType w:val="hybridMultilevel"/>
    <w:lvl w:ilvl="0">
      <w:lvlJc w:val="left"/>
      <w:lvlText w:val="(%1)"/>
      <w:numFmt w:val="lowerRoman"/>
      <w:start w:val="6"/>
    </w:lvl>
  </w:abstractNum>
  <w:abstractNum w:abstractNumId="96">
    <w:nsid w:val="C058DF5"/>
    <w:multiLevelType w:val="hybridMultilevel"/>
    <w:lvl w:ilvl="0">
      <w:lvlJc w:val="left"/>
      <w:lvlText w:val="(%1)"/>
      <w:numFmt w:val="upperLetter"/>
      <w:start w:val="4"/>
    </w:lvl>
  </w:abstractNum>
  <w:abstractNum w:abstractNumId="97">
    <w:nsid w:val="CBE5BE9"/>
    <w:multiLevelType w:val="hybridMultilevel"/>
    <w:lvl w:ilvl="0">
      <w:lvlJc w:val="left"/>
      <w:lvlText w:val="(%1)"/>
      <w:numFmt w:val="upperLetter"/>
      <w:start w:val="1"/>
    </w:lvl>
    <w:lvl w:ilvl="1">
      <w:lvlJc w:val="left"/>
      <w:lvlText w:val="(%2)"/>
      <w:numFmt w:val="decimal"/>
      <w:start w:val="1"/>
    </w:lvl>
  </w:abstractNum>
  <w:abstractNum w:abstractNumId="98">
    <w:nsid w:val="3102BBE2"/>
    <w:multiLevelType w:val="hybridMultilevel"/>
    <w:lvl w:ilvl="0">
      <w:lvlJc w:val="left"/>
      <w:lvlText w:val="·"/>
      <w:numFmt w:val="bullet"/>
      <w:start w:val="1"/>
    </w:lvl>
  </w:abstractNum>
  <w:abstractNum w:abstractNumId="99">
    <w:nsid w:val="26A02C5E"/>
    <w:multiLevelType w:val="hybridMultilevel"/>
    <w:lvl w:ilvl="0">
      <w:lvlJc w:val="left"/>
      <w:lvlText w:val="(%1)"/>
      <w:numFmt w:val="lowerRoman"/>
      <w:start w:val="1"/>
    </w:lvl>
  </w:abstractNum>
  <w:abstractNum w:abstractNumId="100">
    <w:nsid w:val="541C8153"/>
    <w:multiLevelType w:val="hybridMultilevel"/>
    <w:lvl w:ilvl="0">
      <w:lvlJc w:val="left"/>
      <w:lvlText w:val="·"/>
      <w:numFmt w:val="bullet"/>
      <w:start w:val="1"/>
    </w:lvl>
  </w:abstractNum>
  <w:abstractNum w:abstractNumId="101">
    <w:nsid w:val="67906F60"/>
    <w:multiLevelType w:val="hybridMultilevel"/>
    <w:lvl w:ilvl="0">
      <w:lvlJc w:val="left"/>
      <w:lvlText w:val="(%1)"/>
      <w:numFmt w:val="lowerRoman"/>
      <w:start w:val="2"/>
    </w:lvl>
  </w:abstractNum>
  <w:abstractNum w:abstractNumId="102">
    <w:nsid w:val="10DB9DAA"/>
    <w:multiLevelType w:val="hybridMultilevel"/>
    <w:lvl w:ilvl="0">
      <w:lvlJc w:val="left"/>
      <w:lvlText w:val="(%1)"/>
      <w:numFmt w:val="lowerRoman"/>
      <w:start w:val="3"/>
    </w:lvl>
  </w:abstractNum>
  <w:abstractNum w:abstractNumId="103">
    <w:nsid w:val="697D2D2"/>
    <w:multiLevelType w:val="hybridMultilevel"/>
    <w:lvl w:ilvl="0">
      <w:lvlJc w:val="left"/>
      <w:lvlText w:val="(%1)"/>
      <w:numFmt w:val="lowerRoman"/>
      <w:start w:val="4"/>
    </w:lvl>
  </w:abstractNum>
  <w:abstractNum w:abstractNumId="104">
    <w:nsid w:val="6D68AB2"/>
    <w:multiLevelType w:val="hybridMultilevel"/>
    <w:lvl w:ilvl="0">
      <w:lvlJc w:val="left"/>
      <w:lvlText w:val="(%1)"/>
      <w:numFmt w:val="lowerRoman"/>
      <w:start w:val="1"/>
    </w:lvl>
  </w:abstractNum>
  <w:abstractNum w:abstractNumId="105">
    <w:nsid w:val="3A966CD0"/>
    <w:multiLevelType w:val="hybridMultilevel"/>
    <w:lvl w:ilvl="0">
      <w:lvlJc w:val="left"/>
      <w:lvlText w:val="(%1)"/>
      <w:numFmt w:val="lowerRoman"/>
      <w:start w:val="2"/>
    </w:lvl>
  </w:abstractNum>
  <w:abstractNum w:abstractNumId="106">
    <w:nsid w:val="63F37E85"/>
    <w:multiLevelType w:val="hybridMultilevel"/>
    <w:lvl w:ilvl="0">
      <w:lvlJc w:val="left"/>
      <w:lvlText w:val="(%1)"/>
      <w:numFmt w:val="lowerRoman"/>
      <w:start w:val="3"/>
    </w:lvl>
  </w:abstractNum>
  <w:abstractNum w:abstractNumId="107">
    <w:nsid w:val="5895F5FA"/>
    <w:multiLevelType w:val="hybridMultilevel"/>
    <w:lvl w:ilvl="0">
      <w:lvlJc w:val="left"/>
      <w:lvlText w:val="(%1)"/>
      <w:numFmt w:val="lowerRoman"/>
      <w:start w:val="1"/>
    </w:lvl>
  </w:abstractNum>
  <w:abstractNum w:abstractNumId="108">
    <w:nsid w:val="38A5D054"/>
    <w:multiLevelType w:val="hybridMultilevel"/>
    <w:lvl w:ilvl="0">
      <w:lvlJc w:val="left"/>
      <w:lvlText w:val="(%1)"/>
      <w:numFmt w:val="lowerRoman"/>
      <w:start w:val="2"/>
    </w:lvl>
  </w:abstractNum>
  <w:abstractNum w:abstractNumId="109">
    <w:nsid w:val="F3F09D8"/>
    <w:multiLevelType w:val="hybridMultilevel"/>
    <w:lvl w:ilvl="0">
      <w:lvlJc w:val="left"/>
      <w:lvlText w:val="(%1)"/>
      <w:numFmt w:val="lowerRoman"/>
      <w:start w:val="1"/>
    </w:lvl>
  </w:abstractNum>
  <w:abstractNum w:abstractNumId="110">
    <w:nsid w:val="4B793735"/>
    <w:multiLevelType w:val="hybridMultilevel"/>
    <w:lvl w:ilvl="0">
      <w:lvlJc w:val="left"/>
      <w:lvlText w:val="(%1)"/>
      <w:numFmt w:val="lowerRoman"/>
      <w:start w:val="2"/>
    </w:lvl>
  </w:abstractNum>
  <w:abstractNum w:abstractNumId="111">
    <w:nsid w:val="4A10B4E8"/>
    <w:multiLevelType w:val="hybridMultilevel"/>
    <w:lvl w:ilvl="0">
      <w:lvlJc w:val="left"/>
      <w:lvlText w:val="(%1)"/>
      <w:numFmt w:val="decimal"/>
      <w:start w:val="2"/>
    </w:lvl>
  </w:abstractNum>
  <w:abstractNum w:abstractNumId="112">
    <w:nsid w:val="43D3BCD4"/>
    <w:multiLevelType w:val="hybridMultilevel"/>
    <w:lvl w:ilvl="0">
      <w:lvlJc w:val="left"/>
      <w:lvlText w:val="%1."/>
      <w:numFmt w:val="decimal"/>
      <w:start w:val="4"/>
    </w:lvl>
  </w:abstractNum>
  <w:abstractNum w:abstractNumId="113">
    <w:nsid w:val="4C2A7166"/>
    <w:multiLevelType w:val="hybridMultilevel"/>
    <w:lvl w:ilvl="0">
      <w:lvlJc w:val="left"/>
      <w:lvlText w:val="(%1)"/>
      <w:numFmt w:val="decimal"/>
      <w:start w:val="3"/>
    </w:lvl>
  </w:abstractNum>
  <w:abstractNum w:abstractNumId="114">
    <w:nsid w:val="2E534A82"/>
    <w:multiLevelType w:val="hybridMultilevel"/>
    <w:lvl w:ilvl="0">
      <w:lvlJc w:val="left"/>
      <w:lvlText w:val="(%1)"/>
      <w:numFmt w:val="decimal"/>
      <w:start w:val="1"/>
    </w:lvl>
  </w:abstractNum>
  <w:abstractNum w:abstractNumId="115">
    <w:nsid w:val="26F2D364"/>
    <w:multiLevelType w:val="hybridMultilevel"/>
    <w:lvl w:ilvl="0">
      <w:lvlJc w:val="left"/>
      <w:lvlText w:val="(%1)"/>
      <w:numFmt w:val="decimal"/>
      <w:start w:val="10"/>
    </w:lvl>
  </w:abstractNum>
  <w:abstractNum w:abstractNumId="116">
    <w:nsid w:val="71C1AF98"/>
    <w:multiLevelType w:val="hybridMultilevel"/>
    <w:lvl w:ilvl="0">
      <w:lvlJc w:val="left"/>
      <w:lvlText w:val="(%1)"/>
      <w:numFmt w:val="upperLetter"/>
      <w:start w:val="3"/>
    </w:lvl>
  </w:abstractNum>
  <w:abstractNum w:abstractNumId="117">
    <w:nsid w:val="3D00B9D9"/>
    <w:multiLevelType w:val="hybridMultilevel"/>
    <w:lvl w:ilvl="0">
      <w:lvlJc w:val="left"/>
      <w:lvlText w:val="(%1)"/>
      <w:numFmt w:val="upperLetter"/>
      <w:start w:val="5"/>
    </w:lvl>
  </w:abstractNum>
  <w:abstractNum w:abstractNumId="118">
    <w:nsid w:val="15BCABA8"/>
    <w:multiLevelType w:val="hybridMultilevel"/>
    <w:lvl w:ilvl="0">
      <w:lvlJc w:val="left"/>
      <w:lvlText w:val="(%1)"/>
      <w:numFmt w:val="upperLetter"/>
      <w:start w:val="6"/>
    </w:lvl>
  </w:abstractNum>
  <w:abstractNum w:abstractNumId="119">
    <w:nsid w:val="4E0B9A87"/>
    <w:multiLevelType w:val="hybridMultilevel"/>
    <w:lvl w:ilvl="0">
      <w:lvlJc w:val="left"/>
      <w:lvlText w:val="(%1)"/>
      <w:numFmt w:val="upperLetter"/>
      <w:start w:val="1"/>
    </w:lvl>
  </w:abstractNum>
  <w:abstractNum w:abstractNumId="120">
    <w:nsid w:val="434BAE75"/>
    <w:multiLevelType w:val="hybridMultilevel"/>
    <w:lvl w:ilvl="0">
      <w:lvlJc w:val="left"/>
      <w:lvlText w:val="(%1)"/>
      <w:numFmt w:val="upperLetter"/>
      <w:start w:val="2"/>
    </w:lvl>
  </w:abstractNum>
  <w:abstractNum w:abstractNumId="121">
    <w:nsid w:val="4F38F265"/>
    <w:multiLevelType w:val="hybridMultilevel"/>
    <w:lvl w:ilvl="0">
      <w:lvlJc w:val="left"/>
      <w:lvlText w:val="(%1)"/>
      <w:numFmt w:val="upperLetter"/>
      <w:start w:val="3"/>
    </w:lvl>
  </w:abstractNum>
  <w:abstractNum w:abstractNumId="122">
    <w:nsid w:val="4C502870"/>
    <w:multiLevelType w:val="hybridMultilevel"/>
    <w:lvl w:ilvl="0">
      <w:lvlJc w:val="left"/>
      <w:lvlText w:val="(%1)"/>
      <w:numFmt w:val="upperLetter"/>
      <w:start w:val="4"/>
    </w:lvl>
  </w:abstractNum>
  <w:abstractNum w:abstractNumId="123">
    <w:nsid w:val="1DE8725A"/>
    <w:multiLevelType w:val="hybridMultilevel"/>
    <w:lvl w:ilvl="0">
      <w:lvlJc w:val="left"/>
      <w:lvlText w:val="(%1)"/>
      <w:numFmt w:val="upperLetter"/>
      <w:start w:val="5"/>
    </w:lvl>
  </w:abstractNum>
  <w:abstractNum w:abstractNumId="124">
    <w:nsid w:val="6A37288A"/>
    <w:multiLevelType w:val="hybridMultilevel"/>
    <w:lvl w:ilvl="0">
      <w:lvlJc w:val="left"/>
      <w:lvlText w:val="(%1)"/>
      <w:numFmt w:val="upperLetter"/>
      <w:start w:val="1"/>
    </w:lvl>
  </w:abstractNum>
  <w:abstractNum w:abstractNumId="125">
    <w:nsid w:val="8F8B73F"/>
    <w:multiLevelType w:val="hybridMultilevel"/>
    <w:lvl w:ilvl="0">
      <w:lvlJc w:val="left"/>
      <w:lvlText w:val="(%1)"/>
      <w:numFmt w:val="decimal"/>
      <w:start w:val="1"/>
    </w:lvl>
  </w:abstractNum>
  <w:abstractNum w:abstractNumId="126">
    <w:nsid w:val="CA6B462"/>
    <w:multiLevelType w:val="hybridMultilevel"/>
    <w:lvl w:ilvl="0">
      <w:lvlJc w:val="left"/>
      <w:lvlText w:val="(%1)"/>
      <w:numFmt w:val="upperLetter"/>
      <w:start w:val="2"/>
    </w:lvl>
    <w:lvl w:ilvl="1">
      <w:lvlJc w:val="left"/>
      <w:lvlText w:val="(%2)"/>
      <w:numFmt w:val="lowerRoman"/>
      <w:start w:val="1"/>
    </w:lvl>
  </w:abstractNum>
  <w:abstractNum w:abstractNumId="127">
    <w:nsid w:val="763CB680"/>
    <w:multiLevelType w:val="hybridMultilevel"/>
    <w:lvl w:ilvl="0">
      <w:lvlJc w:val="left"/>
      <w:lvlText w:val="(%1)"/>
      <w:numFmt w:val="upperLetter"/>
      <w:start w:val="3"/>
    </w:lvl>
  </w:abstractNum>
  <w:abstractNum w:abstractNumId="128">
    <w:nsid w:val="15B71329"/>
    <w:multiLevelType w:val="hybridMultilevel"/>
    <w:lvl w:ilvl="0">
      <w:lvlJc w:val="left"/>
      <w:lvlText w:val="(%1)"/>
      <w:numFmt w:val="upperLetter"/>
      <w:start w:val="1"/>
    </w:lvl>
  </w:abstractNum>
  <w:abstractNum w:abstractNumId="129">
    <w:nsid w:val="3DA97044"/>
    <w:multiLevelType w:val="hybridMultilevel"/>
    <w:lvl w:ilvl="0">
      <w:lvlJc w:val="left"/>
      <w:lvlText w:val="(%1)"/>
      <w:numFmt w:val="upperLetter"/>
      <w:start w:val="1"/>
    </w:lvl>
  </w:abstractNum>
  <w:abstractNum w:abstractNumId="130">
    <w:nsid w:val="1CDCE2DE"/>
    <w:multiLevelType w:val="hybridMultilevel"/>
    <w:lvl w:ilvl="0">
      <w:lvlJc w:val="left"/>
      <w:lvlText w:val="(%1)"/>
      <w:numFmt w:val="upperLetter"/>
      <w:start w:val="2"/>
    </w:lvl>
  </w:abstractNum>
  <w:abstractNum w:abstractNumId="131">
    <w:nsid w:val="69D3947C"/>
    <w:multiLevelType w:val="hybridMultilevel"/>
    <w:lvl w:ilvl="0">
      <w:lvlJc w:val="left"/>
      <w:lvlText w:val="(%1)"/>
      <w:numFmt w:val="lowerRoman"/>
      <w:start w:val="1"/>
    </w:lvl>
  </w:abstractNum>
  <w:abstractNum w:abstractNumId="132">
    <w:nsid w:val="2539DFA5"/>
    <w:multiLevelType w:val="hybridMultilevel"/>
    <w:lvl w:ilvl="0">
      <w:lvlJc w:val="left"/>
      <w:lvlText w:val="(%1)"/>
      <w:numFmt w:val="lowerRoman"/>
      <w:start w:val="2"/>
    </w:lvl>
  </w:abstractNum>
  <w:abstractNum w:abstractNumId="133">
    <w:nsid w:val="2DB88089"/>
    <w:multiLevelType w:val="hybridMultilevel"/>
    <w:lvl w:ilvl="0">
      <w:lvlJc w:val="left"/>
      <w:lvlText w:val="(%1)"/>
      <w:numFmt w:val="upperLetter"/>
      <w:start w:val="4"/>
    </w:lvl>
  </w:abstractNum>
  <w:abstractNum w:abstractNumId="134">
    <w:nsid w:val="706B674E"/>
    <w:multiLevelType w:val="hybridMultilevel"/>
    <w:lvl w:ilvl="0">
      <w:lvlJc w:val="left"/>
      <w:lvlText w:val="(%1)"/>
      <w:numFmt w:val="upperLetter"/>
      <w:start w:val="1"/>
    </w:lvl>
  </w:abstractNum>
  <w:abstractNum w:abstractNumId="135">
    <w:nsid w:val="2C106A57"/>
    <w:multiLevelType w:val="hybridMultilevel"/>
    <w:lvl w:ilvl="0">
      <w:lvlJc w:val="left"/>
      <w:lvlText w:val="(%1)"/>
      <w:numFmt w:val="upperLetter"/>
      <w:start w:val="3"/>
    </w:lvl>
  </w:abstractNum>
  <w:abstractNum w:abstractNumId="136">
    <w:nsid w:val="684EED59"/>
    <w:multiLevelType w:val="hybridMultilevel"/>
    <w:lvl w:ilvl="0">
      <w:lvlJc w:val="left"/>
      <w:lvlText w:val="(%1)"/>
      <w:numFmt w:val="upperLetter"/>
      <w:start w:val="5"/>
    </w:lvl>
  </w:abstractNum>
  <w:abstractNum w:abstractNumId="137">
    <w:nsid w:val="545EE5D3"/>
    <w:multiLevelType w:val="hybridMultilevel"/>
    <w:lvl w:ilvl="0">
      <w:lvlJc w:val="left"/>
      <w:lvlText w:val="(%1)"/>
      <w:numFmt w:val="decimal"/>
      <w:start w:val="1"/>
    </w:lvl>
  </w:abstractNum>
  <w:abstractNum w:abstractNumId="138">
    <w:nsid w:val="4A66051"/>
    <w:multiLevelType w:val="hybridMultilevel"/>
    <w:lvl w:ilvl="0">
      <w:lvlJc w:val="left"/>
      <w:lvlText w:val="(%1)"/>
      <w:numFmt w:val="upperLetter"/>
      <w:start w:val="6"/>
    </w:lvl>
  </w:abstractNum>
  <w:abstractNum w:abstractNumId="139">
    <w:nsid w:val="20F4BDAD"/>
    <w:multiLevelType w:val="hybridMultilevel"/>
    <w:lvl w:ilvl="0">
      <w:lvlJc w:val="left"/>
      <w:lvlText w:val="(%1)"/>
      <w:numFmt w:val="upperLetter"/>
      <w:start w:val="1"/>
    </w:lvl>
  </w:abstractNum>
  <w:abstractNum w:abstractNumId="140">
    <w:nsid w:val="639DEFAC"/>
    <w:multiLevelType w:val="hybridMultilevel"/>
    <w:lvl w:ilvl="0">
      <w:lvlJc w:val="left"/>
      <w:lvlText w:val="(%1)"/>
      <w:numFmt w:val="upperLetter"/>
      <w:start w:val="1"/>
    </w:lvl>
  </w:abstractNum>
  <w:abstractNum w:abstractNumId="141">
    <w:nsid w:val="501F9786"/>
    <w:multiLevelType w:val="hybridMultilevel"/>
    <w:lvl w:ilvl="0">
      <w:lvlJc w:val="left"/>
      <w:lvlText w:val="(%1)"/>
      <w:numFmt w:val="upperLetter"/>
      <w:start w:val="2"/>
    </w:lvl>
  </w:abstractNum>
  <w:abstractNum w:abstractNumId="142">
    <w:nsid w:val="6B057295"/>
    <w:multiLevelType w:val="hybridMultilevel"/>
    <w:lvl w:ilvl="0">
      <w:lvlJc w:val="left"/>
      <w:lvlText w:val="•"/>
      <w:numFmt w:val="bullet"/>
      <w:start w:val="1"/>
    </w:lvl>
  </w:abstractNum>
  <w:abstractNum w:abstractNumId="143">
    <w:nsid w:val="2771AC80"/>
    <w:multiLevelType w:val="hybridMultilevel"/>
    <w:lvl w:ilvl="0">
      <w:lvlJc w:val="left"/>
      <w:lvlText w:val="(%1)"/>
      <w:numFmt w:val="upperLetter"/>
      <w:start w:val="3"/>
    </w:lvl>
  </w:abstractNum>
  <w:abstractNum w:abstractNumId="144">
    <w:nsid w:val="1C4A08EC"/>
    <w:multiLevelType w:val="hybridMultilevel"/>
    <w:lvl w:ilvl="0">
      <w:lvlJc w:val="left"/>
      <w:lvlText w:val="(%1)"/>
      <w:numFmt w:val="upperLetter"/>
      <w:start w:val="4"/>
    </w:lvl>
  </w:abstractNum>
  <w:abstractNum w:abstractNumId="145">
    <w:nsid w:val="1958BD17"/>
    <w:multiLevelType w:val="hybridMultilevel"/>
    <w:lvl w:ilvl="0">
      <w:lvlJc w:val="left"/>
      <w:lvlText w:val="(%1)"/>
      <w:numFmt w:val="upperLetter"/>
      <w:start w:val="1"/>
    </w:lvl>
  </w:abstractNum>
  <w:abstractNum w:abstractNumId="146">
    <w:nsid w:val="4E647FE4"/>
    <w:multiLevelType w:val="hybridMultilevel"/>
    <w:lvl w:ilvl="0">
      <w:lvlJc w:val="left"/>
      <w:lvlText w:val="•"/>
      <w:numFmt w:val="bullet"/>
      <w:start w:val="1"/>
    </w:lvl>
  </w:abstractNum>
  <w:abstractNum w:abstractNumId="147">
    <w:nsid w:val="E0BB885"/>
    <w:multiLevelType w:val="hybridMultilevel"/>
    <w:lvl w:ilvl="0">
      <w:lvlJc w:val="left"/>
      <w:lvlText w:val="(%1)"/>
      <w:numFmt w:val="upperLetter"/>
      <w:start w:val="1"/>
    </w:lvl>
    <w:lvl w:ilvl="1">
      <w:lvlJc w:val="left"/>
      <w:lvlText w:val="•"/>
      <w:numFmt w:val="bullet"/>
      <w:start w:val="1"/>
    </w:lvl>
  </w:abstractNum>
  <w:abstractNum w:abstractNumId="148">
    <w:nsid w:val="565976F1"/>
    <w:multiLevelType w:val="hybridMultilevel"/>
    <w:lvl w:ilvl="0">
      <w:lvlJc w:val="left"/>
      <w:lvlText w:val="(%1)"/>
      <w:numFmt w:val="decimal"/>
      <w:start w:val="1"/>
    </w:lvl>
  </w:abstractNum>
  <w:abstractNum w:abstractNumId="149">
    <w:nsid w:val="64212B8C"/>
    <w:multiLevelType w:val="hybridMultilevel"/>
    <w:lvl w:ilvl="0">
      <w:lvlJc w:val="left"/>
      <w:lvlText w:val="•"/>
      <w:numFmt w:val="bullet"/>
      <w:start w:val="1"/>
    </w:lvl>
  </w:abstractNum>
  <w:abstractNum w:abstractNumId="150">
    <w:nsid w:val="5C17530C"/>
    <w:multiLevelType w:val="hybridMultilevel"/>
    <w:lvl w:ilvl="0">
      <w:lvlJc w:val="left"/>
      <w:lvlText w:val="•"/>
      <w:numFmt w:val="bullet"/>
      <w:start w:val="1"/>
    </w:lvl>
  </w:abstractNum>
  <w:abstractNum w:abstractNumId="151">
    <w:nsid w:val="19A52566"/>
    <w:multiLevelType w:val="hybridMultilevel"/>
    <w:lvl w:ilvl="0">
      <w:lvlJc w:val="left"/>
      <w:lvlText w:val="•"/>
      <w:numFmt w:val="bullet"/>
      <w:start w:val="1"/>
    </w:lvl>
  </w:abstractNum>
  <w:abstractNum w:abstractNumId="152">
    <w:nsid w:val="335A1DF1"/>
    <w:multiLevelType w:val="hybridMultilevel"/>
    <w:lvl w:ilvl="0">
      <w:lvlJc w:val="left"/>
      <w:lvlText w:val="(%1)"/>
      <w:numFmt w:val="decimal"/>
      <w:start w:val="2"/>
    </w:lvl>
  </w:abstractNum>
  <w:abstractNum w:abstractNumId="153">
    <w:nsid w:val="28677B7C"/>
    <w:multiLevelType w:val="hybridMultilevel"/>
    <w:lvl w:ilvl="0">
      <w:lvlJc w:val="left"/>
      <w:lvlText w:val="(%1)"/>
      <w:numFmt w:val="upperLetter"/>
      <w:start w:val="3"/>
    </w:lvl>
  </w:abstractNum>
  <w:abstractNum w:abstractNumId="154">
    <w:nsid w:val="378D97C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55">
    <w:nsid w:val="1D91467C"/>
    <w:multiLevelType w:val="hybridMultilevel"/>
    <w:lvl w:ilvl="0">
      <w:lvlJc w:val="left"/>
      <w:lvlText w:val="(%1)"/>
      <w:numFmt w:val="lowerLetter"/>
      <w:start w:val="2"/>
    </w:lvl>
  </w:abstractNum>
  <w:abstractNum w:abstractNumId="156">
    <w:nsid w:val="316032BB"/>
    <w:multiLevelType w:val="hybridMultilevel"/>
    <w:lvl w:ilvl="0">
      <w:lvlJc w:val="left"/>
      <w:lvlText w:val="%1."/>
      <w:numFmt w:val="decimal"/>
      <w:start w:val="3"/>
    </w:lvl>
    <w:lvl w:ilvl="1">
      <w:lvlJc w:val="left"/>
      <w:lvlText w:val="(%2)"/>
      <w:numFmt w:val="lowerLetter"/>
      <w:start w:val="1"/>
    </w:lvl>
  </w:abstractNum>
  <w:abstractNum w:abstractNumId="157">
    <w:nsid w:val="44344C22"/>
    <w:multiLevelType w:val="hybridMultilevel"/>
    <w:lvl w:ilvl="0">
      <w:lvlJc w:val="left"/>
      <w:lvlText w:val="-"/>
      <w:numFmt w:val="bullet"/>
      <w:start w:val="1"/>
    </w:lvl>
  </w:abstractNum>
  <w:abstractNum w:abstractNumId="158">
    <w:nsid w:val="13CDFCFC"/>
    <w:multiLevelType w:val="hybridMultilevel"/>
    <w:lvl w:ilvl="0">
      <w:lvlJc w:val="left"/>
      <w:lvlText w:val="(%1)"/>
      <w:numFmt w:val="lowerLetter"/>
      <w:start w:val="1"/>
    </w:lvl>
    <w:lvl w:ilvl="1">
      <w:lvlJc w:val="left"/>
      <w:lvlText w:val="-"/>
      <w:numFmt w:val="bullet"/>
      <w:start w:val="1"/>
    </w:lvl>
  </w:abstractNum>
  <w:abstractNum w:abstractNumId="159">
    <w:nsid w:val="471745E4"/>
    <w:multiLevelType w:val="hybridMultilevel"/>
    <w:lvl w:ilvl="0">
      <w:lvlJc w:val="left"/>
      <w:lvlText w:val="(%1)"/>
      <w:numFmt w:val="lowerRoman"/>
      <w:start w:val="1"/>
    </w:lvl>
  </w:abstractNum>
  <w:abstractNum w:abstractNumId="160">
    <w:nsid w:val="1DDBC66"/>
    <w:multiLevelType w:val="hybridMultilevel"/>
    <w:lvl w:ilvl="0">
      <w:lvlJc w:val="left"/>
      <w:lvlText w:val="(%1)"/>
      <w:numFmt w:val="lowerLetter"/>
      <w:start w:val="3"/>
    </w:lvl>
    <w:lvl w:ilvl="1">
      <w:lvlJc w:val="left"/>
      <w:lvlText w:val="-"/>
      <w:numFmt w:val="bullet"/>
      <w:start w:val="1"/>
    </w:lvl>
  </w:abstractNum>
  <w:abstractNum w:abstractNumId="161">
    <w:nsid w:val="30AADFDA"/>
    <w:multiLevelType w:val="hybridMultilevel"/>
    <w:lvl w:ilvl="0">
      <w:lvlJc w:val="left"/>
      <w:lvlText w:val="(%1)"/>
      <w:numFmt w:val="lowerLetter"/>
      <w:start w:val="4"/>
    </w:lvl>
  </w:abstractNum>
  <w:abstractNum w:abstractNumId="162">
    <w:nsid w:val="30EADA61"/>
    <w:multiLevelType w:val="hybridMultilevel"/>
    <w:lvl w:ilvl="0">
      <w:lvlJc w:val="left"/>
      <w:lvlText w:val="(%1)"/>
      <w:numFmt w:val="lowerLetter"/>
      <w:start w:val="5"/>
    </w:lvl>
  </w:abstractNum>
  <w:abstractNum w:abstractNumId="163">
    <w:nsid w:val="27179C0B"/>
    <w:multiLevelType w:val="hybridMultilevel"/>
    <w:lvl w:ilvl="0">
      <w:lvlJc w:val="left"/>
      <w:lvlText w:val="(%1)"/>
      <w:numFmt w:val="lowerRoman"/>
      <w:start w:val="1"/>
    </w:lvl>
  </w:abstractNum>
  <w:abstractNum w:abstractNumId="164">
    <w:nsid w:val="5E636063"/>
    <w:multiLevelType w:val="hybridMultilevel"/>
    <w:lvl w:ilvl="0">
      <w:lvlJc w:val="left"/>
      <w:lvlText w:val="(%1)"/>
      <w:numFmt w:val="lowerRoman"/>
      <w:start w:val="2"/>
    </w:lvl>
  </w:abstractNum>
  <w:abstractNum w:abstractNumId="165">
    <w:nsid w:val="215641AF"/>
    <w:multiLevelType w:val="hybridMultilevel"/>
    <w:lvl w:ilvl="0">
      <w:lvlJc w:val="left"/>
      <w:lvlText w:val="(%1)"/>
      <w:numFmt w:val="lowerRoman"/>
      <w:start w:val="1"/>
    </w:lvl>
  </w:abstractNum>
  <w:abstractNum w:abstractNumId="166">
    <w:nsid w:val="53280662"/>
    <w:multiLevelType w:val="hybridMultilevel"/>
    <w:lvl w:ilvl="0">
      <w:lvlJc w:val="left"/>
      <w:lvlText w:val="(%1)"/>
      <w:numFmt w:val="lowerRoman"/>
      <w:start w:val="1"/>
    </w:lvl>
  </w:abstractNum>
  <w:abstractNum w:abstractNumId="167">
    <w:nsid w:val="46B24DB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68">
    <w:nsid w:val="75B5278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69">
    <w:nsid w:val="57CE66B4"/>
    <w:multiLevelType w:val="hybridMultilevel"/>
    <w:lvl w:ilvl="0">
      <w:lvlJc w:val="left"/>
      <w:lvlText w:val="-"/>
      <w:numFmt w:val="bullet"/>
      <w:start w:val="1"/>
    </w:lvl>
  </w:abstractNum>
  <w:abstractNum w:abstractNumId="170">
    <w:nsid w:val="67A70B69"/>
    <w:multiLevelType w:val="hybridMultilevel"/>
    <w:lvl w:ilvl="0">
      <w:lvlJc w:val="left"/>
      <w:lvlText w:val="(%1)"/>
      <w:numFmt w:val="lowerRoman"/>
      <w:start w:val="2"/>
    </w:lvl>
  </w:abstractNum>
  <w:abstractNum w:abstractNumId="171">
    <w:nsid w:val="5953172F"/>
    <w:multiLevelType w:val="hybridMultilevel"/>
    <w:lvl w:ilvl="0">
      <w:lvlJc w:val="left"/>
      <w:lvlText w:val="(%1)"/>
      <w:numFmt w:val="lowerRoman"/>
      <w:start w:val="3"/>
    </w:lvl>
  </w:abstractNum>
  <w:abstractNum w:abstractNumId="172">
    <w:nsid w:val="27EDFE3A"/>
    <w:multiLevelType w:val="hybridMultilevel"/>
    <w:lvl w:ilvl="0">
      <w:lvlJc w:val="left"/>
      <w:lvlText w:val="%1"/>
      <w:numFmt w:val="lowerLetter"/>
      <w:start w:val="1"/>
    </w:lvl>
    <w:lvl w:ilvl="1">
      <w:lvlJc w:val="left"/>
      <w:lvlText w:val="(%2)"/>
      <w:numFmt w:val="lowerRoman"/>
      <w:start w:val="4"/>
    </w:lvl>
  </w:abstractNum>
  <w:abstractNum w:abstractNumId="173">
    <w:nsid w:val="52AC7DFF"/>
    <w:multiLevelType w:val="hybridMultilevel"/>
    <w:lvl w:ilvl="0">
      <w:lvlJc w:val="left"/>
      <w:lvlText w:val="(%1)"/>
      <w:numFmt w:val="lowerLetter"/>
      <w:start w:val="7"/>
    </w:lvl>
    <w:lvl w:ilvl="1">
      <w:lvlJc w:val="left"/>
      <w:lvlText w:val="%2"/>
      <w:numFmt w:val="lowerRoman"/>
      <w:start w:val="1"/>
    </w:lvl>
  </w:abstractNum>
  <w:abstractNum w:abstractNumId="174">
    <w:nsid w:val="C4C3AF"/>
    <w:multiLevelType w:val="hybridMultilevel"/>
    <w:lvl w:ilvl="0">
      <w:lvlJc w:val="left"/>
      <w:lvlText w:val="(%1)"/>
      <w:numFmt w:val="lowerRoman"/>
      <w:start w:val="1"/>
    </w:lvl>
    <w:lvl w:ilvl="1">
      <w:lvlJc w:val="left"/>
      <w:lvlText w:val="(%2)"/>
      <w:numFmt w:val="lowerRoman"/>
      <w:start w:val="1"/>
    </w:lvl>
  </w:abstractNum>
  <w:abstractNum w:abstractNumId="175">
    <w:nsid w:val="44380727"/>
    <w:multiLevelType w:val="hybridMultilevel"/>
    <w:lvl w:ilvl="0">
      <w:lvlJc w:val="left"/>
      <w:lvlText w:val="(%1)"/>
      <w:numFmt w:val="lowerRoman"/>
      <w:start w:val="2"/>
    </w:lvl>
  </w:abstractNum>
  <w:abstractNum w:abstractNumId="176">
    <w:nsid w:val="6C053B16"/>
    <w:multiLevelType w:val="hybridMultilevel"/>
    <w:lvl w:ilvl="0">
      <w:lvlJc w:val="left"/>
      <w:lvlText w:val="%1"/>
      <w:numFmt w:val="lowerLetter"/>
      <w:start w:val="1"/>
    </w:lvl>
    <w:lvl w:ilvl="1">
      <w:lvlJc w:val="left"/>
      <w:lvlText w:val="(%2)"/>
      <w:numFmt w:val="lowerLetter"/>
      <w:start w:val="61"/>
    </w:lvl>
  </w:abstractNum>
  <w:abstractNum w:abstractNumId="177">
    <w:nsid w:val="4F294393"/>
    <w:multiLevelType w:val="hybridMultilevel"/>
    <w:lvl w:ilvl="0">
      <w:lvlJc w:val="left"/>
      <w:lvlText w:val="(%1)"/>
      <w:numFmt w:val="lowerLetter"/>
      <w:start w:val="10"/>
    </w:lvl>
    <w:lvl w:ilvl="1">
      <w:lvlJc w:val="left"/>
      <w:lvlText w:val="%2"/>
      <w:numFmt w:val="lowerLetter"/>
      <w:start w:val="1"/>
    </w:lvl>
  </w:abstractNum>
  <w:abstractNum w:abstractNumId="178">
    <w:nsid w:val="5243BFAC"/>
    <w:multiLevelType w:val="hybridMultilevel"/>
    <w:lvl w:ilvl="0">
      <w:lvlJc w:val="left"/>
      <w:lvlText w:val="(%1)"/>
      <w:numFmt w:val="lowerLetter"/>
      <w:start w:val="11"/>
    </w:lvl>
  </w:abstractNum>
  <w:abstractNum w:abstractNumId="179">
    <w:nsid w:val="425EB207"/>
    <w:multiLevelType w:val="hybridMultilevel"/>
    <w:lvl w:ilvl="0">
      <w:lvlJc w:val="left"/>
      <w:lvlText w:val="(%1)"/>
      <w:numFmt w:val="lowerLetter"/>
      <w:start w:val="12"/>
    </w:lvl>
  </w:abstractNum>
  <w:abstractNum w:abstractNumId="180">
    <w:nsid w:val="334A6F1F"/>
    <w:multiLevelType w:val="hybridMultilevel"/>
    <w:lvl w:ilvl="0">
      <w:lvlJc w:val="left"/>
      <w:lvlText w:val="(%1)"/>
      <w:numFmt w:val="lowerLetter"/>
      <w:start w:val="14"/>
    </w:lvl>
  </w:abstractNum>
  <w:abstractNum w:abstractNumId="181">
    <w:nsid w:val="2E5B12B8"/>
    <w:multiLevelType w:val="hybridMultilevel"/>
    <w:lvl w:ilvl="0">
      <w:lvlJc w:val="left"/>
      <w:lvlText w:val="(%1)"/>
      <w:numFmt w:val="lowerLetter"/>
      <w:start w:val="17"/>
    </w:lvl>
  </w:abstractNum>
  <w:abstractNum w:abstractNumId="182">
    <w:nsid w:val="5C03D76D"/>
    <w:multiLevelType w:val="hybridMultilevel"/>
    <w:lvl w:ilvl="0">
      <w:lvlJc w:val="left"/>
      <w:lvlText w:val="(%1)"/>
      <w:numFmt w:val="lowerLetter"/>
      <w:start w:val="22"/>
    </w:lvl>
    <w:lvl w:ilvl="1">
      <w:lvlJc w:val="left"/>
      <w:lvlText w:val="(%2)"/>
      <w:numFmt w:val="lowerRoman"/>
      <w:start w:val="1"/>
    </w:lvl>
  </w:abstractNum>
  <w:abstractNum w:abstractNumId="183">
    <w:nsid w:val="66A48D11"/>
    <w:multiLevelType w:val="hybridMultilevel"/>
    <w:lvl w:ilvl="0">
      <w:lvlJc w:val="left"/>
      <w:lvlText w:val="%1"/>
      <w:numFmt w:val="lowerRoman"/>
      <w:start w:val="1"/>
    </w:lvl>
    <w:lvl w:ilvl="1">
      <w:lvlJc w:val="left"/>
      <w:lvlText w:val="(%2)"/>
      <w:numFmt w:val="lowerRoman"/>
      <w:start w:val="2"/>
    </w:lvl>
  </w:abstractNum>
  <w:abstractNum w:abstractNumId="184">
    <w:nsid w:val="56C28E34"/>
    <w:multiLevelType w:val="hybridMultilevel"/>
    <w:lvl w:ilvl="0">
      <w:lvlJc w:val="left"/>
      <w:lvlText w:val="(%1)"/>
      <w:numFmt w:val="lowerRoman"/>
      <w:start w:val="10"/>
    </w:lvl>
    <w:lvl w:ilvl="1">
      <w:lvlJc w:val="left"/>
      <w:lvlText w:val="%2"/>
      <w:numFmt w:val="lowerRoman"/>
      <w:start w:val="1"/>
    </w:lvl>
  </w:abstractNum>
  <w:abstractNum w:abstractNumId="185">
    <w:nsid w:val="13916F2D"/>
    <w:multiLevelType w:val="hybridMultilevel"/>
    <w:lvl w:ilvl="0">
      <w:lvlJc w:val="left"/>
      <w:lvlText w:val="(%1)"/>
      <w:numFmt w:val="lowerRoman"/>
      <w:start w:val="1"/>
    </w:lvl>
  </w:abstractNum>
  <w:abstractNum w:abstractNumId="186">
    <w:nsid w:val="435D38D"/>
    <w:multiLevelType w:val="hybridMultilevel"/>
    <w:lvl w:ilvl="0">
      <w:lvlJc w:val="left"/>
      <w:lvlText w:val="%1"/>
      <w:numFmt w:val="lowerLetter"/>
      <w:start w:val="1"/>
    </w:lvl>
    <w:lvl w:ilvl="1">
      <w:lvlJc w:val="left"/>
      <w:lvlText w:val="(%2)"/>
      <w:numFmt w:val="lowerLetter"/>
      <w:start w:val="61"/>
    </w:lvl>
  </w:abstractNum>
  <w:abstractNum w:abstractNumId="187">
    <w:nsid w:val="822C0EF"/>
    <w:multiLevelType w:val="hybridMultilevel"/>
    <w:lvl w:ilvl="0">
      <w:lvlJc w:val="left"/>
      <w:lvlText w:val="(%1)"/>
      <w:numFmt w:val="lowerLetter"/>
      <w:start w:val="25"/>
    </w:lvl>
    <w:lvl w:ilvl="1">
      <w:lvlJc w:val="left"/>
      <w:lvlText w:val="%2"/>
      <w:numFmt w:val="lowerLetter"/>
      <w:start w:val="1"/>
    </w:lvl>
  </w:abstractNum>
  <w:abstractNum w:abstractNumId="188">
    <w:nsid w:val="57C5BB4F"/>
    <w:multiLevelType w:val="hybridMultilevel"/>
    <w:lvl w:ilvl="0">
      <w:lvlJc w:val="left"/>
      <w:lvlText w:val="(%1)"/>
      <w:numFmt w:val="lowerLetter"/>
      <w:start w:val="27"/>
    </w:lvl>
  </w:abstractNum>
  <w:abstractNum w:abstractNumId="189">
    <w:nsid w:val="1803D089"/>
    <w:multiLevelType w:val="hybridMultilevel"/>
    <w:lvl w:ilvl="0">
      <w:lvlJc w:val="left"/>
      <w:lvlText w:val="-"/>
      <w:numFmt w:val="bullet"/>
      <w:start w:val="1"/>
    </w:lvl>
  </w:abstractNum>
  <w:abstractNum w:abstractNumId="190">
    <w:nsid w:val="4F3A06D4"/>
    <w:multiLevelType w:val="hybridMultilevel"/>
    <w:lvl w:ilvl="0">
      <w:lvlJc w:val="left"/>
      <w:lvlText w:val="(%1)"/>
      <w:numFmt w:val="lowerLetter"/>
      <w:start w:val="2"/>
    </w:lvl>
  </w:abstractNum>
  <w:abstractNum w:abstractNumId="191">
    <w:nsid w:val="59A377B6"/>
    <w:multiLevelType w:val="hybridMultilevel"/>
    <w:lvl w:ilvl="0">
      <w:lvlJc w:val="left"/>
      <w:lvlText w:val="%1."/>
      <w:numFmt w:val="decimal"/>
      <w:start w:val="5"/>
    </w:lvl>
    <w:lvl w:ilvl="1">
      <w:lvlJc w:val="left"/>
      <w:lvlText w:val="(%2)"/>
      <w:numFmt w:val="lowerLetter"/>
      <w:start w:val="1"/>
    </w:lvl>
  </w:abstractNum>
  <w:abstractNum w:abstractNumId="192">
    <w:nsid w:val="48AEB063"/>
    <w:multiLevelType w:val="hybridMultilevel"/>
    <w:lvl w:ilvl="0">
      <w:lvlJc w:val="left"/>
      <w:lvlText w:val="(%1)"/>
      <w:numFmt w:val="lowerLetter"/>
      <w:start w:val="2"/>
    </w:lvl>
    <w:lvl w:ilvl="1">
      <w:lvlJc w:val="left"/>
      <w:lvlText w:val="(%2)"/>
      <w:numFmt w:val="lowerLetter"/>
      <w:start w:val="4"/>
    </w:lvl>
  </w:abstractNum>
  <w:abstractNum w:abstractNumId="193">
    <w:nsid w:val="24E135"/>
    <w:multiLevelType w:val="hybridMultilevel"/>
    <w:lvl w:ilvl="0">
      <w:lvlJc w:val="left"/>
      <w:lvlText w:val="(%1)"/>
      <w:numFmt w:val="lowerLetter"/>
      <w:start w:val="6"/>
    </w:lvl>
  </w:abstractNum>
  <w:abstractNum w:abstractNumId="194">
    <w:nsid w:val="BB13C1"/>
    <w:multiLevelType w:val="hybridMultilevel"/>
    <w:lvl w:ilvl="0">
      <w:lvlJc w:val="left"/>
      <w:lvlText w:val="(%1)"/>
      <w:numFmt w:val="lowerLetter"/>
      <w:start w:val="11"/>
    </w:lvl>
  </w:abstractNum>
  <w:abstractNum w:abstractNumId="195">
    <w:nsid w:val="271210C7"/>
    <w:multiLevelType w:val="hybridMultilevel"/>
    <w:lvl w:ilvl="0">
      <w:lvlJc w:val="left"/>
      <w:lvlText w:val="%1."/>
      <w:numFmt w:val="decimal"/>
      <w:start w:val="6"/>
    </w:lvl>
    <w:lvl w:ilvl="1">
      <w:lvlJc w:val="left"/>
      <w:lvlText w:val="(%2)"/>
      <w:numFmt w:val="lowerLetter"/>
      <w:start w:val="1"/>
    </w:lvl>
  </w:abstractNum>
  <w:abstractNum w:abstractNumId="196">
    <w:nsid w:val="217B22E4"/>
    <w:multiLevelType w:val="hybridMultilevel"/>
    <w:lvl w:ilvl="0">
      <w:lvlJc w:val="left"/>
      <w:lvlText w:val="(%1)"/>
      <w:numFmt w:val="lowerLetter"/>
      <w:start w:val="3"/>
    </w:lvl>
  </w:abstractNum>
  <w:abstractNum w:abstractNumId="197">
    <w:nsid w:val="53E31A24"/>
    <w:multiLevelType w:val="hybridMultilevel"/>
    <w:lvl w:ilvl="0">
      <w:lvlJc w:val="left"/>
      <w:lvlText w:val="(%1)"/>
      <w:numFmt w:val="lowerLetter"/>
      <w:start w:val="4"/>
    </w:lvl>
  </w:abstractNum>
  <w:abstractNum w:abstractNumId="198">
    <w:nsid w:val="6DC45E83"/>
    <w:multiLevelType w:val="hybridMultilevel"/>
    <w:lvl w:ilvl="0">
      <w:lvlJc w:val="left"/>
      <w:lvlText w:val="(*)"/>
      <w:numFmt w:val="bullet"/>
      <w:start w:val="1"/>
    </w:lvl>
  </w:abstractNum>
  <w:abstractNum w:abstractNumId="199">
    <w:nsid w:val="17304A67"/>
    <w:multiLevelType w:val="hybridMultilevel"/>
    <w:lvl w:ilvl="0">
      <w:lvlJc w:val="left"/>
      <w:lvlText w:val="(%1)"/>
      <w:numFmt w:val="lowerLetter"/>
      <w:start w:val="5"/>
    </w:lvl>
  </w:abstractNum>
  <w:abstractNum w:abstractNumId="200">
    <w:nsid w:val="2BB180D8"/>
    <w:multiLevelType w:val="hybridMultilevel"/>
    <w:lvl w:ilvl="0">
      <w:lvlJc w:val="left"/>
      <w:lvlText w:val="%1."/>
      <w:numFmt w:val="decimal"/>
      <w:start w:val="7"/>
    </w:lvl>
    <w:lvl w:ilvl="1">
      <w:lvlJc w:val="left"/>
      <w:lvlText w:val="(%2)"/>
      <w:numFmt w:val="lowerLetter"/>
      <w:start w:val="1"/>
    </w:lvl>
  </w:abstractNum>
  <w:abstractNum w:abstractNumId="201">
    <w:nsid w:val="556B69ED"/>
    <w:multiLevelType w:val="hybridMultilevel"/>
    <w:lvl w:ilvl="0">
      <w:lvlJc w:val="left"/>
      <w:lvlText w:val="(%1)"/>
      <w:numFmt w:val="lowerLetter"/>
      <w:start w:val="2"/>
    </w:lvl>
  </w:abstractNum>
  <w:abstractNum w:abstractNumId="202">
    <w:nsid w:val="70836196"/>
    <w:multiLevelType w:val="hybridMultilevel"/>
    <w:lvl w:ilvl="0">
      <w:lvlJc w:val="left"/>
      <w:lvlText w:val="(%1)"/>
      <w:numFmt w:val="lowerLetter"/>
      <w:start w:val="3"/>
    </w:lvl>
  </w:abstractNum>
  <w:abstractNum w:abstractNumId="203">
    <w:nsid w:val="539F7F12"/>
    <w:multiLevelType w:val="hybridMultilevel"/>
    <w:lvl w:ilvl="0">
      <w:lvlJc w:val="left"/>
      <w:lvlText w:val="%1."/>
      <w:numFmt w:val="decimal"/>
      <w:start w:val="8"/>
    </w:lvl>
    <w:lvl w:ilvl="1">
      <w:lvlJc w:val="left"/>
      <w:lvlText w:val="(%2)"/>
      <w:numFmt w:val="lowerLetter"/>
      <w:start w:val="1"/>
    </w:lvl>
  </w:abstractNum>
  <w:abstractNum w:abstractNumId="204">
    <w:nsid w:val="2817E7EC"/>
    <w:multiLevelType w:val="hybridMultilevel"/>
    <w:lvl w:ilvl="0">
      <w:lvlJc w:val="left"/>
      <w:lvlText w:val="%1."/>
      <w:numFmt w:val="decimal"/>
      <w:start w:val="9"/>
    </w:lvl>
    <w:lvl w:ilvl="1">
      <w:lvlJc w:val="left"/>
      <w:lvlText w:val="(%2)"/>
      <w:numFmt w:val="lowerLetter"/>
      <w:start w:val="1"/>
    </w:lvl>
  </w:abstractNum>
  <w:abstractNum w:abstractNumId="205">
    <w:nsid w:val="71482545"/>
    <w:multiLevelType w:val="hybridMultilevel"/>
    <w:lvl w:ilvl="0">
      <w:lvlJc w:val="left"/>
      <w:lvlText w:val="(%1)"/>
      <w:numFmt w:val="lowerLetter"/>
      <w:start w:val="2"/>
    </w:lvl>
  </w:abstractNum>
  <w:abstractNum w:abstractNumId="206">
    <w:nsid w:val="17D78639"/>
    <w:multiLevelType w:val="hybridMultilevel"/>
    <w:lvl w:ilvl="0">
      <w:lvlJc w:val="left"/>
      <w:lvlText w:val="%1."/>
      <w:numFmt w:val="decimal"/>
      <w:start w:val="10"/>
    </w:lvl>
    <w:lvl w:ilvl="1">
      <w:lvlJc w:val="left"/>
      <w:lvlText w:val="(%2)"/>
      <w:numFmt w:val="lowerLetter"/>
      <w:start w:val="1"/>
    </w:lvl>
  </w:abstractNum>
  <w:abstractNum w:abstractNumId="207">
    <w:nsid w:val="141D2302"/>
    <w:multiLevelType w:val="hybridMultilevel"/>
    <w:lvl w:ilvl="0">
      <w:lvlJc w:val="left"/>
      <w:lvlText w:val="(%1)"/>
      <w:numFmt w:val="lowerLetter"/>
      <w:start w:val="2"/>
    </w:lvl>
  </w:abstractNum>
  <w:abstractNum w:abstractNumId="208">
    <w:nsid w:val="407168D8"/>
    <w:multiLevelType w:val="hybridMultilevel"/>
    <w:lvl w:ilvl="0">
      <w:lvlJc w:val="left"/>
      <w:lvlText w:val="(%1)"/>
      <w:numFmt w:val="lowerRoman"/>
      <w:start w:val="1"/>
    </w:lvl>
  </w:abstractNum>
  <w:abstractNum w:abstractNumId="209">
    <w:nsid w:val="6A1B45E5"/>
    <w:multiLevelType w:val="hybridMultilevel"/>
    <w:lvl w:ilvl="0">
      <w:lvlJc w:val="left"/>
      <w:lvlText w:val="(%1)"/>
      <w:numFmt w:val="lowerRoman"/>
      <w:start w:val="2"/>
    </w:lvl>
  </w:abstractNum>
  <w:abstractNum w:abstractNumId="210">
    <w:nsid w:val="567BD50A"/>
    <w:multiLevelType w:val="hybridMultilevel"/>
    <w:lvl w:ilvl="0">
      <w:lvlJc w:val="left"/>
      <w:lvlText w:val="(%1)"/>
      <w:numFmt w:val="lowerLetter"/>
      <w:start w:val="3"/>
    </w:lvl>
  </w:abstractNum>
  <w:abstractNum w:abstractNumId="211">
    <w:nsid w:val="73BBD7F8"/>
    <w:multiLevelType w:val="hybridMultilevel"/>
    <w:lvl w:ilvl="0">
      <w:lvlJc w:val="left"/>
      <w:lvlText w:val="(%1)"/>
      <w:numFmt w:val="lowerLetter"/>
      <w:start w:val="4"/>
    </w:lvl>
  </w:abstractNum>
  <w:abstractNum w:abstractNumId="212">
    <w:nsid w:val="1876589D"/>
    <w:multiLevelType w:val="hybridMultilevel"/>
    <w:lvl w:ilvl="0">
      <w:lvlJc w:val="left"/>
      <w:lvlText w:val="(%1)"/>
      <w:numFmt w:val="lowerRoman"/>
      <w:start w:val="1"/>
    </w:lvl>
  </w:abstractNum>
  <w:abstractNum w:abstractNumId="213">
    <w:nsid w:val="327FAC77"/>
    <w:multiLevelType w:val="hybridMultilevel"/>
    <w:lvl w:ilvl="0">
      <w:lvlJc w:val="left"/>
      <w:lvlText w:val="(%1)"/>
      <w:numFmt w:val="lowerLetter"/>
      <w:start w:val="2"/>
    </w:lvl>
  </w:abstractNum>
  <w:abstractNum w:abstractNumId="214">
    <w:nsid w:val="5A606509"/>
    <w:multiLevelType w:val="hybridMultilevel"/>
    <w:lvl w:ilvl="0">
      <w:lvlJc w:val="left"/>
      <w:lvlText w:val="(%1)"/>
      <w:numFmt w:val="lowerLetter"/>
      <w:start w:val="3"/>
    </w:lvl>
  </w:abstractNum>
  <w:abstractNum w:abstractNumId="215">
    <w:nsid w:val="6F38E6D1"/>
    <w:multiLevelType w:val="hybridMultilevel"/>
    <w:lvl w:ilvl="0">
      <w:lvlJc w:val="left"/>
      <w:lvlText w:val="(*)"/>
      <w:numFmt w:val="bullet"/>
      <w:start w:val="1"/>
    </w:lvl>
  </w:abstractNum>
  <w:abstractNum w:abstractNumId="216">
    <w:nsid w:val="46111BA5"/>
    <w:multiLevelType w:val="hybridMultilevel"/>
    <w:lvl w:ilvl="0">
      <w:lvlJc w:val="left"/>
      <w:lvlText w:val="%1"/>
      <w:numFmt w:val="lowerLetter"/>
      <w:start w:val="1"/>
    </w:lvl>
    <w:lvl w:ilvl="1">
      <w:lvlJc w:val="left"/>
      <w:lvlText w:val="(%2)"/>
      <w:numFmt w:val="lowerLetter"/>
      <w:start w:val="35"/>
    </w:lvl>
  </w:abstractNum>
  <w:abstractNum w:abstractNumId="217">
    <w:nsid w:val="5E963896"/>
    <w:multiLevelType w:val="hybridMultilevel"/>
    <w:lvl w:ilvl="0">
      <w:lvlJc w:val="left"/>
      <w:lvlText w:val="(%1)"/>
      <w:numFmt w:val="lowerLetter"/>
      <w:start w:val="2"/>
    </w:lvl>
    <w:lvl w:ilvl="1">
      <w:lvlJc w:val="left"/>
      <w:lvlText w:val="%2"/>
      <w:numFmt w:val="lowerLetter"/>
      <w:start w:val="1"/>
    </w:lvl>
  </w:abstractNum>
  <w:abstractNum w:abstractNumId="218">
    <w:nsid w:val="775BA7C1"/>
    <w:multiLevelType w:val="hybridMultilevel"/>
    <w:lvl w:ilvl="0">
      <w:lvlJc w:val="left"/>
      <w:lvlText w:val="(%1)"/>
      <w:numFmt w:val="lowerLetter"/>
      <w:start w:val="3"/>
    </w:lvl>
  </w:abstractNum>
  <w:abstractNum w:abstractNumId="219">
    <w:nsid w:val="1DD6D6F4"/>
    <w:multiLevelType w:val="hybridMultilevel"/>
    <w:lvl w:ilvl="0">
      <w:lvlJc w:val="left"/>
      <w:lvlText w:val="%1."/>
      <w:numFmt w:val="decimal"/>
      <w:start w:val="14"/>
    </w:lvl>
    <w:lvl w:ilvl="1">
      <w:lvlJc w:val="left"/>
      <w:lvlText w:val="(%2)"/>
      <w:numFmt w:val="lowerLetter"/>
      <w:start w:val="1"/>
    </w:lvl>
  </w:abstractNum>
  <w:abstractNum w:abstractNumId="220">
    <w:nsid w:val="769A091F"/>
    <w:multiLevelType w:val="hybridMultilevel"/>
    <w:lvl w:ilvl="0">
      <w:lvlJc w:val="left"/>
      <w:lvlText w:val="(%1)"/>
      <w:numFmt w:val="lowerLetter"/>
      <w:start w:val="2"/>
    </w:lvl>
  </w:abstractNum>
  <w:abstractNum w:abstractNumId="221">
    <w:nsid w:val="4695AE95"/>
    <w:multiLevelType w:val="hybridMultilevel"/>
    <w:lvl w:ilvl="0">
      <w:lvlJc w:val="left"/>
      <w:lvlText w:val="(*)"/>
      <w:numFmt w:val="bullet"/>
      <w:start w:val="1"/>
    </w:lvl>
  </w:abstractNum>
  <w:abstractNum w:abstractNumId="222">
    <w:nsid w:val="777A4EAA"/>
    <w:multiLevelType w:val="hybridMultilevel"/>
    <w:lvl w:ilvl="0">
      <w:lvlJc w:val="left"/>
      <w:lvlText w:val="(%1)"/>
      <w:numFmt w:val="lowerRoman"/>
      <w:start w:val="2"/>
    </w:lvl>
  </w:abstractNum>
  <w:abstractNum w:abstractNumId="223">
    <w:nsid w:val="3F48B982"/>
    <w:multiLevelType w:val="hybridMultilevel"/>
    <w:lvl w:ilvl="0">
      <w:lvlJc w:val="left"/>
      <w:lvlText w:val="(%1)"/>
      <w:numFmt w:val="lowerRoman"/>
      <w:start w:val="3"/>
    </w:lvl>
  </w:abstractNum>
  <w:abstractNum w:abstractNumId="224">
    <w:nsid w:val="46BA8FCA"/>
    <w:multiLevelType w:val="hybridMultilevel"/>
    <w:lvl w:ilvl="0">
      <w:lvlJc w:val="left"/>
      <w:lvlText w:val="(%1)"/>
      <w:numFmt w:val="lowerRoman"/>
      <w:start w:val="5"/>
    </w:lvl>
  </w:abstractNum>
  <w:abstractNum w:abstractNumId="225">
    <w:nsid w:val="7835626C"/>
    <w:multiLevelType w:val="hybridMultilevel"/>
    <w:lvl w:ilvl="0">
      <w:lvlJc w:val="left"/>
      <w:lvlText w:val="(%1)"/>
      <w:numFmt w:val="lowerLetter"/>
      <w:start w:val="2"/>
    </w:lvl>
  </w:abstractNum>
  <w:abstractNum w:abstractNumId="226">
    <w:nsid w:val="665ACA49"/>
    <w:multiLevelType w:val="hybridMultilevel"/>
    <w:lvl w:ilvl="0">
      <w:lvlJc w:val="left"/>
      <w:lvlText w:val="%1."/>
      <w:numFmt w:val="decimal"/>
      <w:start w:val="16"/>
    </w:lvl>
    <w:lvl w:ilvl="1">
      <w:lvlJc w:val="left"/>
      <w:lvlText w:val="(%2)"/>
      <w:numFmt w:val="lowerLetter"/>
      <w:start w:val="1"/>
    </w:lvl>
  </w:abstractNum>
  <w:abstractNum w:abstractNumId="227">
    <w:nsid w:val="6835B2AE"/>
    <w:multiLevelType w:val="hybridMultilevel"/>
    <w:lvl w:ilvl="0">
      <w:lvlJc w:val="left"/>
      <w:lvlText w:val="(%1)"/>
      <w:numFmt w:val="lowerLetter"/>
      <w:start w:val="4"/>
    </w:lvl>
  </w:abstractNum>
  <w:abstractNum w:abstractNumId="228">
    <w:nsid w:val="4C187C90"/>
    <w:multiLevelType w:val="hybridMultilevel"/>
    <w:lvl w:ilvl="0">
      <w:lvlJc w:val="left"/>
      <w:lvlText w:val="(%1)"/>
      <w:numFmt w:val="lowerLetter"/>
      <w:start w:val="5"/>
    </w:lvl>
  </w:abstractNum>
  <w:abstractNum w:abstractNumId="229">
    <w:nsid w:val="541F28CD"/>
    <w:multiLevelType w:val="hybridMultilevel"/>
    <w:lvl w:ilvl="0">
      <w:lvlJc w:val="left"/>
      <w:lvlText w:val="%1"/>
      <w:numFmt w:val="decimal"/>
      <w:start w:val="1"/>
    </w:lvl>
    <w:lvl w:ilvl="1">
      <w:lvlJc w:val="left"/>
      <w:lvlText w:val="(%2)"/>
      <w:numFmt w:val="lowerLetter"/>
      <w:start w:val="6"/>
    </w:lvl>
  </w:abstractNum>
  <w:abstractNum w:abstractNumId="230">
    <w:nsid w:val="7F65FD16"/>
    <w:multiLevelType w:val="hybridMultilevel"/>
    <w:lvl w:ilvl="0">
      <w:lvlJc w:val="left"/>
      <w:lvlText w:val="%1."/>
      <w:numFmt w:val="decimal"/>
      <w:start w:val="17"/>
    </w:lvl>
    <w:lvl w:ilvl="1">
      <w:lvlJc w:val="left"/>
      <w:lvlText w:val="(%2)"/>
      <w:numFmt w:val="lowerLetter"/>
      <w:start w:val="1"/>
    </w:lvl>
  </w:abstractNum>
  <w:abstractNum w:abstractNumId="231">
    <w:nsid w:val="77C9FD68"/>
    <w:multiLevelType w:val="hybridMultilevel"/>
    <w:lvl w:ilvl="0">
      <w:lvlJc w:val="left"/>
      <w:lvlText w:val="(%1)"/>
      <w:numFmt w:val="lowerLetter"/>
      <w:start w:val="2"/>
    </w:lvl>
  </w:abstractNum>
  <w:abstractNum w:abstractNumId="232">
    <w:nsid w:val="298A92BA"/>
    <w:multiLevelType w:val="hybridMultilevel"/>
    <w:lvl w:ilvl="0">
      <w:lvlJc w:val="left"/>
      <w:lvlText w:val="(%1)"/>
      <w:numFmt w:val="lowerLetter"/>
      <w:start w:val="3"/>
    </w:lvl>
  </w:abstractNum>
  <w:abstractNum w:abstractNumId="233">
    <w:nsid w:val="6FE95EAC"/>
    <w:multiLevelType w:val="hybridMultilevel"/>
    <w:lvl w:ilvl="0">
      <w:lvlJc w:val="left"/>
      <w:lvlText w:val="(%1)"/>
      <w:numFmt w:val="lowerLetter"/>
      <w:start w:val="4"/>
    </w:lvl>
  </w:abstractNum>
  <w:abstractNum w:abstractNumId="234">
    <w:nsid w:val="4B697C7A"/>
    <w:multiLevelType w:val="hybridMultilevel"/>
    <w:lvl w:ilvl="0">
      <w:lvlJc w:val="left"/>
      <w:lvlText w:val="%1."/>
      <w:numFmt w:val="decimal"/>
      <w:start w:val="18"/>
    </w:lvl>
    <w:lvl w:ilvl="1">
      <w:lvlJc w:val="left"/>
      <w:lvlText w:val="(%2)"/>
      <w:numFmt w:val="lowerLetter"/>
      <w:start w:val="1"/>
    </w:lvl>
  </w:abstractNum>
  <w:abstractNum w:abstractNumId="235">
    <w:nsid w:val="51A27AA6"/>
    <w:multiLevelType w:val="hybridMultilevel"/>
    <w:lvl w:ilvl="0">
      <w:lvlJc w:val="left"/>
      <w:lvlText w:val="(*)"/>
      <w:numFmt w:val="bullet"/>
      <w:start w:val="1"/>
    </w:lvl>
  </w:abstractNum>
  <w:abstractNum w:abstractNumId="236">
    <w:nsid w:val="613183F2"/>
    <w:multiLevelType w:val="hybridMultilevel"/>
    <w:lvl w:ilvl="0">
      <w:lvlJc w:val="left"/>
      <w:lvlText w:val="(*)"/>
      <w:numFmt w:val="bullet"/>
      <w:start w:val="1"/>
    </w:lvl>
  </w:abstractNum>
  <w:abstractNum w:abstractNumId="237">
    <w:nsid w:val="634102B4"/>
    <w:multiLevelType w:val="hybridMultilevel"/>
    <w:lvl w:ilvl="0">
      <w:lvlJc w:val="left"/>
      <w:lvlText w:val="(%1)"/>
      <w:numFmt w:val="lowerLetter"/>
      <w:start w:val="2"/>
    </w:lvl>
  </w:abstractNum>
  <w:abstractNum w:abstractNumId="238">
    <w:nsid w:val="65BF9DA8"/>
    <w:multiLevelType w:val="hybridMultilevel"/>
    <w:lvl w:ilvl="0">
      <w:lvlJc w:val="left"/>
      <w:lvlText w:val="(%1)"/>
      <w:numFmt w:val="lowerLetter"/>
      <w:start w:val="2"/>
    </w:lvl>
  </w:abstractNum>
  <w:abstractNum w:abstractNumId="239">
    <w:nsid w:val="21A2ECCA"/>
    <w:multiLevelType w:val="hybridMultilevel"/>
    <w:lvl w:ilvl="0">
      <w:lvlJc w:val="left"/>
      <w:lvlText w:val="%1"/>
      <w:numFmt w:val="decimal"/>
      <w:start w:val="1"/>
    </w:lvl>
    <w:lvl w:ilvl="1">
      <w:lvlJc w:val="left"/>
      <w:lvlText w:val="(%2)"/>
      <w:numFmt w:val="lowerLetter"/>
      <w:start w:val="3"/>
    </w:lvl>
  </w:abstractNum>
  <w:abstractNum w:abstractNumId="240">
    <w:nsid w:val="4D5C4899"/>
    <w:multiLevelType w:val="hybridMultilevel"/>
    <w:lvl w:ilvl="0">
      <w:lvlJc w:val="left"/>
      <w:lvlText w:val="%1."/>
      <w:numFmt w:val="decimal"/>
      <w:start w:val="20"/>
    </w:lvl>
    <w:lvl w:ilvl="1">
      <w:lvlJc w:val="left"/>
      <w:lvlText w:val="%2"/>
      <w:numFmt w:val="lowerLetter"/>
      <w:start w:val="1"/>
    </w:lvl>
  </w:abstractNum>
  <w:abstractNum w:abstractNumId="241">
    <w:nsid w:val="3C3B72B2"/>
    <w:multiLevelType w:val="hybridMultilevel"/>
    <w:lvl w:ilvl="0">
      <w:lvlJc w:val="left"/>
      <w:lvlText w:val="%1."/>
      <w:numFmt w:val="decimal"/>
      <w:start w:val="22"/>
    </w:lvl>
  </w:abstractNum>
  <w:abstractNum w:abstractNumId="242">
    <w:nsid w:val="155EC4C2"/>
    <w:multiLevelType w:val="hybridMultilevel"/>
    <w:lvl w:ilvl="0">
      <w:lvlJc w:val="left"/>
      <w:lvlText w:val="(*)"/>
      <w:numFmt w:val="bullet"/>
      <w:start w:val="1"/>
    </w:lvl>
  </w:abstractNum>
  <w:abstractNum w:abstractNumId="243">
    <w:nsid w:val="65D2A137"/>
    <w:multiLevelType w:val="hybridMultilevel"/>
    <w:lvl w:ilvl="0">
      <w:lvlJc w:val="left"/>
      <w:lvlText w:val="(**)"/>
      <w:numFmt w:val="bullet"/>
      <w:start w:val="1"/>
    </w:lvl>
    <w:lvl w:ilvl="1">
      <w:lvlJc w:val="left"/>
      <w:lvlText w:val="(%2)"/>
      <w:numFmt w:val="lowerRoman"/>
      <w:start w:val="1"/>
    </w:lvl>
  </w:abstractNum>
  <w:abstractNum w:abstractNumId="244">
    <w:nsid w:val="6EBB1F2A"/>
    <w:multiLevelType w:val="hybridMultilevel"/>
    <w:lvl w:ilvl="0">
      <w:lvlJc w:val="left"/>
      <w:lvlText w:val="%1."/>
      <w:numFmt w:val="decimal"/>
      <w:start w:val="23"/>
    </w:lvl>
  </w:abstractNum>
  <w:abstractNum w:abstractNumId="245">
    <w:nsid w:val="6FBF29CB"/>
    <w:multiLevelType w:val="hybridMultilevel"/>
    <w:lvl w:ilvl="0">
      <w:lvlJc w:val="left"/>
      <w:lvlText w:val="%1."/>
      <w:numFmt w:val="decimal"/>
      <w:start w:val="25"/>
    </w:lvl>
  </w:abstractNum>
  <w:abstractNum w:abstractNumId="246">
    <w:nsid w:val="550B8808"/>
    <w:multiLevelType w:val="hybridMultilevel"/>
    <w:lvl w:ilvl="0">
      <w:lvlJc w:val="left"/>
      <w:lvlText w:val="%1."/>
      <w:numFmt w:val="decimal"/>
      <w:start w:val="26"/>
    </w:lvl>
  </w:abstractNum>
  <w:abstractNum w:abstractNumId="247">
    <w:nsid w:val="34CC3ACF"/>
    <w:multiLevelType w:val="hybridMultilevel"/>
    <w:lvl w:ilvl="0">
      <w:lvlJc w:val="left"/>
      <w:lvlText w:val="(%1)"/>
      <w:numFmt w:val="lowerRoman"/>
      <w:start w:val="1"/>
    </w:lvl>
  </w:abstractNum>
  <w:abstractNum w:abstractNumId="248">
    <w:nsid w:val="4E556261"/>
    <w:multiLevelType w:val="hybridMultilevel"/>
    <w:lvl w:ilvl="0">
      <w:lvlJc w:val="left"/>
      <w:lvlText w:val="(%1)"/>
      <w:numFmt w:val="lowerRoman"/>
      <w:start w:val="2"/>
    </w:lvl>
  </w:abstractNum>
  <w:abstractNum w:abstractNumId="249">
    <w:nsid w:val="4C672FC9"/>
    <w:multiLevelType w:val="hybridMultilevel"/>
    <w:lvl w:ilvl="0">
      <w:lvlJc w:val="left"/>
      <w:lvlText w:val="(*)"/>
      <w:numFmt w:val="bullet"/>
      <w:start w:val="1"/>
    </w:lvl>
  </w:abstractNum>
  <w:abstractNum w:abstractNumId="250">
    <w:nsid w:val="52A311C3"/>
    <w:multiLevelType w:val="hybridMultilevel"/>
    <w:lvl w:ilvl="0">
      <w:lvlJc w:val="left"/>
      <w:lvlText w:val="(***)"/>
      <w:numFmt w:val="bullet"/>
      <w:start w:val="1"/>
    </w:lvl>
    <w:lvl w:ilvl="1">
      <w:lvlJc w:val="left"/>
      <w:lvlText w:val="(**)"/>
      <w:numFmt w:val="bullet"/>
      <w:start w:val="1"/>
    </w:lvl>
  </w:abstractNum>
  <w:abstractNum w:abstractNumId="251">
    <w:nsid w:val="44EF6B80"/>
    <w:multiLevelType w:val="hybridMultilevel"/>
    <w:lvl w:ilvl="0">
      <w:lvlJc w:val="left"/>
      <w:lvlText w:val="%1."/>
      <w:numFmt w:val="decimal"/>
      <w:start w:val="27"/>
    </w:lvl>
    <w:lvl w:ilvl="1">
      <w:lvlJc w:val="left"/>
      <w:lvlText w:val="(%2)"/>
      <w:numFmt w:val="lowerLetter"/>
      <w:start w:val="1"/>
    </w:lvl>
  </w:abstractNum>
  <w:abstractNum w:abstractNumId="252">
    <w:nsid w:val="12FCDE5E"/>
    <w:multiLevelType w:val="hybridMultilevel"/>
    <w:lvl w:ilvl="0">
      <w:lvlJc w:val="left"/>
      <w:lvlText w:val="(%1)"/>
      <w:numFmt w:val="lowerLetter"/>
      <w:start w:val="3"/>
    </w:lvl>
  </w:abstractNum>
  <w:abstractNum w:abstractNumId="253">
    <w:nsid w:val="4A1D606E"/>
    <w:multiLevelType w:val="hybridMultilevel"/>
    <w:lvl w:ilvl="0">
      <w:lvlJc w:val="left"/>
      <w:lvlText w:val="(%1)"/>
      <w:numFmt w:val="lowerLetter"/>
      <w:start w:val="5"/>
    </w:lvl>
  </w:abstractNum>
  <w:abstractNum w:abstractNumId="254">
    <w:nsid w:val="4382503"/>
    <w:multiLevelType w:val="hybridMultilevel"/>
    <w:lvl w:ilvl="0">
      <w:lvlJc w:val="left"/>
      <w:lvlText w:val="(%1)"/>
      <w:numFmt w:val="lowerLetter"/>
      <w:start w:val="6"/>
    </w:lvl>
  </w:abstractNum>
  <w:abstractNum w:abstractNumId="255">
    <w:nsid w:val="59B76E28"/>
    <w:multiLevelType w:val="hybridMultilevel"/>
    <w:lvl w:ilvl="0">
      <w:lvlJc w:val="left"/>
      <w:lvlText w:val="%1."/>
      <w:numFmt w:val="decimal"/>
      <w:start w:val="28"/>
    </w:lvl>
  </w:abstractNum>
  <w:abstractNum w:abstractNumId="256">
    <w:nsid w:val="4252C2DA"/>
    <w:multiLevelType w:val="hybridMultilevel"/>
    <w:lvl w:ilvl="0">
      <w:lvlJc w:val="left"/>
      <w:lvlText w:val="%1."/>
      <w:numFmt w:val="decimal"/>
      <w:start w:val="29"/>
    </w:lvl>
    <w:lvl w:ilvl="1">
      <w:lvlJc w:val="left"/>
      <w:lvlText w:val="(%2)"/>
      <w:numFmt w:val="lowerLetter"/>
      <w:start w:val="1"/>
    </w:lvl>
  </w:abstractNum>
  <w:abstractNum w:abstractNumId="257">
    <w:nsid w:val="6A92EF4C"/>
    <w:multiLevelType w:val="hybridMultilevel"/>
    <w:lvl w:ilvl="0">
      <w:lvlJc w:val="left"/>
      <w:lvlText w:val="(%1)"/>
      <w:numFmt w:val="lowerRoman"/>
      <w:start w:val="1"/>
    </w:lvl>
  </w:abstractNum>
  <w:abstractNum w:abstractNumId="258">
    <w:nsid w:val="41ED20D7"/>
    <w:multiLevelType w:val="hybridMultilevel"/>
    <w:lvl w:ilvl="0">
      <w:lvlJc w:val="left"/>
      <w:lvlText w:val="%1"/>
      <w:numFmt w:val="lowerLetter"/>
      <w:start w:val="1"/>
    </w:lvl>
    <w:lvl w:ilvl="1">
      <w:lvlJc w:val="left"/>
      <w:lvlText w:val="(%2)"/>
      <w:numFmt w:val="lowerRoman"/>
      <w:start w:val="2"/>
    </w:lvl>
  </w:abstractNum>
  <w:abstractNum w:abstractNumId="259">
    <w:nsid w:val="E6B3F6A"/>
    <w:multiLevelType w:val="hybridMultilevel"/>
    <w:lvl w:ilvl="0">
      <w:lvlJc w:val="left"/>
      <w:lvlText w:val="(%1)"/>
      <w:numFmt w:val="lowerLetter"/>
      <w:start w:val="2"/>
    </w:lvl>
    <w:lvl w:ilvl="1">
      <w:lvlJc w:val="left"/>
      <w:lvlText w:val="%2"/>
      <w:numFmt w:val="lowerRoman"/>
      <w:start w:val="1"/>
    </w:lvl>
  </w:abstractNum>
  <w:abstractNum w:abstractNumId="260">
    <w:nsid w:val="3EB21819"/>
    <w:multiLevelType w:val="hybridMultilevel"/>
    <w:lvl w:ilvl="0">
      <w:lvlJc w:val="left"/>
      <w:lvlText w:val="(%1)"/>
      <w:numFmt w:val="lowerLetter"/>
      <w:start w:val="3"/>
    </w:lvl>
  </w:abstractNum>
  <w:abstractNum w:abstractNumId="261">
    <w:nsid w:val="41531DED"/>
    <w:multiLevelType w:val="hybridMultilevel"/>
    <w:lvl w:ilvl="0">
      <w:lvlJc w:val="left"/>
      <w:lvlText w:val="(%1)"/>
      <w:numFmt w:val="lowerLetter"/>
      <w:start w:val="1"/>
    </w:lvl>
  </w:abstractNum>
  <w:abstractNum w:abstractNumId="262">
    <w:nsid w:val="6353CD2"/>
    <w:multiLevelType w:val="hybridMultilevel"/>
    <w:lvl w:ilvl="0">
      <w:lvlJc w:val="left"/>
      <w:lvlText w:val="(%1)"/>
      <w:numFmt w:val="lowerRoman"/>
      <w:start w:val="1"/>
    </w:lvl>
  </w:abstractNum>
  <w:abstractNum w:abstractNumId="263">
    <w:nsid w:val="683CAAD3"/>
    <w:multiLevelType w:val="hybridMultilevel"/>
    <w:lvl w:ilvl="0">
      <w:lvlJc w:val="left"/>
      <w:lvlText w:val="(%1)"/>
      <w:numFmt w:val="lowerRoman"/>
      <w:start w:val="2"/>
    </w:lvl>
  </w:abstractNum>
  <w:abstractNum w:abstractNumId="264">
    <w:nsid w:val="313C7C99"/>
    <w:multiLevelType w:val="hybridMultilevel"/>
    <w:lvl w:ilvl="0">
      <w:lvlJc w:val="left"/>
      <w:lvlText w:val="(%1)"/>
      <w:numFmt w:val="lowerLetter"/>
      <w:start w:val="2"/>
    </w:lvl>
    <w:lvl w:ilvl="1">
      <w:lvlJc w:val="left"/>
      <w:lvlText w:val="-"/>
      <w:numFmt w:val="bullet"/>
      <w:start w:val="1"/>
    </w:lvl>
  </w:abstractNum>
  <w:abstractNum w:abstractNumId="265">
    <w:nsid w:val="519EB94C"/>
    <w:multiLevelType w:val="hybridMultilevel"/>
    <w:lvl w:ilvl="0">
      <w:lvlJc w:val="left"/>
      <w:lvlText w:val="(%1)"/>
      <w:numFmt w:val="lowerLetter"/>
      <w:start w:val="4"/>
    </w:lvl>
  </w:abstractNum>
  <w:abstractNum w:abstractNumId="266">
    <w:nsid w:val="39DF2579"/>
    <w:multiLevelType w:val="hybridMultilevel"/>
    <w:lvl w:ilvl="0">
      <w:lvlJc w:val="left"/>
      <w:lvlText w:val="(*)"/>
      <w:numFmt w:val="bullet"/>
      <w:start w:val="1"/>
    </w:lvl>
  </w:abstractNum>
  <w:abstractNum w:abstractNumId="267">
    <w:nsid w:val="126E008B"/>
    <w:multiLevelType w:val="hybridMultilevel"/>
    <w:lvl w:ilvl="0">
      <w:lvlJc w:val="left"/>
      <w:lvlText w:val="(%1)"/>
      <w:numFmt w:val="lowerLetter"/>
      <w:start w:val="5"/>
    </w:lvl>
  </w:abstractNum>
  <w:abstractNum w:abstractNumId="268">
    <w:nsid w:val="34DFBC00"/>
    <w:multiLevelType w:val="hybridMultilevel"/>
    <w:lvl w:ilvl="0">
      <w:lvlJc w:val="left"/>
      <w:lvlText w:val="(%1)"/>
      <w:numFmt w:val="lowerLetter"/>
      <w:start w:val="1"/>
    </w:lvl>
  </w:abstractNum>
  <w:abstractNum w:abstractNumId="269">
    <w:nsid w:val="1F9EC322"/>
    <w:multiLevelType w:val="hybridMultilevel"/>
    <w:lvl w:ilvl="0">
      <w:lvlJc w:val="left"/>
      <w:lvlText w:val="(%1)"/>
      <w:numFmt w:val="lowerLetter"/>
      <w:start w:val="2"/>
    </w:lvl>
    <w:lvl w:ilvl="1">
      <w:lvlJc w:val="left"/>
      <w:lvlText w:val="(%2)"/>
      <w:numFmt w:val="lowerRoman"/>
      <w:start w:val="1"/>
    </w:lvl>
  </w:abstractNum>
  <w:abstractNum w:abstractNumId="270">
    <w:nsid w:val="3410ED56"/>
    <w:multiLevelType w:val="hybridMultilevel"/>
    <w:lvl w:ilvl="0">
      <w:lvlJc w:val="left"/>
      <w:lvlText w:val="(%1)"/>
      <w:numFmt w:val="lowerRoman"/>
      <w:start w:val="2"/>
    </w:lvl>
  </w:abstractNum>
  <w:abstractNum w:abstractNumId="271">
    <w:nsid w:val="23C049A"/>
    <w:multiLevelType w:val="hybridMultilevel"/>
    <w:lvl w:ilvl="0">
      <w:lvlJc w:val="left"/>
      <w:lvlText w:val="(%1)"/>
      <w:numFmt w:val="lowerLetter"/>
      <w:start w:val="1"/>
    </w:lvl>
  </w:abstractNum>
  <w:abstractNum w:abstractNumId="272">
    <w:nsid w:val="5BDA35D4"/>
    <w:multiLevelType w:val="hybridMultilevel"/>
    <w:lvl w:ilvl="0">
      <w:lvlJc w:val="left"/>
      <w:lvlText w:val="(%1)"/>
      <w:numFmt w:val="lowerLetter"/>
      <w:start w:val="2"/>
    </w:lvl>
  </w:abstractNum>
  <w:abstractNum w:abstractNumId="273">
    <w:nsid w:val="496FB218"/>
    <w:multiLevelType w:val="hybridMultilevel"/>
    <w:lvl w:ilvl="0">
      <w:lvlJc w:val="left"/>
      <w:lvlText w:val="(%1)"/>
      <w:numFmt w:val="lowerLetter"/>
      <w:start w:val="3"/>
    </w:lvl>
    <w:lvl w:ilvl="1">
      <w:lvlJc w:val="left"/>
      <w:lvlText w:val="-"/>
      <w:numFmt w:val="bullet"/>
      <w:start w:val="1"/>
    </w:lvl>
  </w:abstractNum>
  <w:abstractNum w:abstractNumId="274">
    <w:nsid w:val="680EA5D1"/>
    <w:multiLevelType w:val="hybridMultilevel"/>
    <w:lvl w:ilvl="0">
      <w:lvlJc w:val="left"/>
      <w:lvlText w:val="(%1)"/>
      <w:numFmt w:val="lowerLetter"/>
      <w:start w:val="1"/>
    </w:lvl>
    <w:lvl w:ilvl="1">
      <w:lvlJc w:val="left"/>
      <w:lvlText w:val="(%2)"/>
      <w:numFmt w:val="lowerRoman"/>
      <w:start w:val="1"/>
    </w:lvl>
  </w:abstractNum>
  <w:abstractNum w:abstractNumId="275">
    <w:nsid w:val="4A9554FE"/>
    <w:multiLevelType w:val="hybridMultilevel"/>
    <w:lvl w:ilvl="0">
      <w:lvlJc w:val="left"/>
      <w:lvlText w:val="(%1)"/>
      <w:numFmt w:val="lowerRoman"/>
      <w:start w:val="3"/>
    </w:lvl>
  </w:abstractNum>
  <w:abstractNum w:abstractNumId="276">
    <w:nsid w:val="392EDBE4"/>
    <w:multiLevelType w:val="hybridMultilevel"/>
    <w:lvl w:ilvl="0">
      <w:lvlJc w:val="left"/>
      <w:lvlText w:val="(%1)"/>
      <w:numFmt w:val="lowerLetter"/>
      <w:start w:val="2"/>
    </w:lvl>
  </w:abstractNum>
  <w:abstractNum w:abstractNumId="277">
    <w:nsid w:val="3D1A2DD9"/>
    <w:multiLevelType w:val="hybridMultilevel"/>
    <w:lvl w:ilvl="0">
      <w:lvlJc w:val="left"/>
      <w:lvlText w:val="8"/>
      <w:numFmt w:val="bullet"/>
      <w:start w:val="1"/>
    </w:lvl>
  </w:abstractNum>
  <w:abstractNum w:abstractNumId="278">
    <w:nsid w:val="7F618FCD"/>
    <w:multiLevelType w:val="hybridMultilevel"/>
    <w:lvl w:ilvl="0">
      <w:lvlJc w:val="left"/>
      <w:lvlText w:val="8"/>
      <w:numFmt w:val="bullet"/>
      <w:start w:val="1"/>
    </w:lvl>
  </w:abstractNum>
  <w:abstractNum w:abstractNumId="279">
    <w:nsid w:val="7843E45"/>
    <w:multiLevelType w:val="hybridMultilevel"/>
    <w:lvl w:ilvl="0">
      <w:lvlJc w:val="left"/>
      <w:lvlText w:val="%1."/>
      <w:numFmt w:val="decimal"/>
      <w:start w:val="1"/>
    </w:lvl>
  </w:abstractNum>
  <w:abstractNum w:abstractNumId="280">
    <w:nsid w:val="9815DA3"/>
    <w:multiLevelType w:val="hybridMultilevel"/>
    <w:lvl w:ilvl="0">
      <w:lvlJc w:val="left"/>
      <w:lvlText w:val="%1)"/>
      <w:numFmt w:val="lowerLetter"/>
      <w:start w:val="1"/>
    </w:lvl>
  </w:abstractNum>
  <w:abstractNum w:abstractNumId="281">
    <w:nsid w:val="5204A191"/>
    <w:multiLevelType w:val="hybridMultilevel"/>
    <w:lvl w:ilvl="0">
      <w:lvlJc w:val="left"/>
      <w:lvlText w:val="%1."/>
      <w:numFmt w:val="decimal"/>
      <w:start w:val="5"/>
    </w:lvl>
  </w:abstractNum>
  <w:abstractNum w:abstractNumId="282">
    <w:nsid w:val="4C73A9C6"/>
    <w:multiLevelType w:val="hybridMultilevel"/>
    <w:lvl w:ilvl="0">
      <w:lvlJc w:val="left"/>
      <w:lvlText w:val="%1)"/>
      <w:numFmt w:val="lowerLetter"/>
      <w:start w:val="1"/>
    </w:lvl>
  </w:abstractNum>
  <w:abstractNum w:abstractNumId="283">
    <w:nsid w:val="1C7E3C01"/>
    <w:multiLevelType w:val="hybridMultilevel"/>
    <w:lvl w:ilvl="0">
      <w:lvlJc w:val="left"/>
      <w:lvlText w:val="%1."/>
      <w:numFmt w:val="decimal"/>
      <w:start w:val="1"/>
    </w:lvl>
  </w:abstractNum>
  <w:abstractNum w:abstractNumId="284">
    <w:nsid w:val="1C2201FF"/>
    <w:multiLevelType w:val="hybridMultilevel"/>
    <w:lvl w:ilvl="0">
      <w:lvlJc w:val="left"/>
      <w:lvlText w:val="%1)"/>
      <w:numFmt w:val="lowerLetter"/>
      <w:start w:val="1"/>
    </w:lvl>
  </w:abstractNum>
  <w:abstractNum w:abstractNumId="285">
    <w:nsid w:val="50ABCEC9"/>
    <w:multiLevelType w:val="hybridMultilevel"/>
    <w:lvl w:ilvl="0">
      <w:lvlJc w:val="left"/>
      <w:lvlText w:val="%1."/>
      <w:numFmt w:val="decimal"/>
      <w:start w:val="5"/>
    </w:lvl>
  </w:abstractNum>
  <w:abstractNum w:abstractNumId="286">
    <w:nsid w:val="7635AA2A"/>
    <w:multiLevelType w:val="hybridMultilevel"/>
    <w:lvl w:ilvl="0">
      <w:lvlJc w:val="left"/>
      <w:lvlText w:val="%1)"/>
      <w:numFmt w:val="lowerLetter"/>
      <w:start w:val="1"/>
    </w:lvl>
  </w:abstractNum>
  <w:abstractNum w:abstractNumId="287">
    <w:nsid w:val="5E74C4D9"/>
    <w:multiLevelType w:val="hybridMultilevel"/>
    <w:lvl w:ilvl="0">
      <w:lvlJc w:val="left"/>
      <w:lvlText w:val="%1."/>
      <w:numFmt w:val="decimal"/>
      <w:start w:val="1"/>
    </w:lvl>
  </w:abstractNum>
  <w:abstractNum w:abstractNumId="288">
    <w:nsid w:val="3B3EBE15"/>
    <w:multiLevelType w:val="hybridMultilevel"/>
    <w:lvl w:ilvl="0">
      <w:lvlJc w:val="left"/>
      <w:lvlText w:val="(%1)"/>
      <w:numFmt w:val="upperLetter"/>
      <w:start w:val="1"/>
    </w:lvl>
  </w:abstractNum>
  <w:abstractNum w:abstractNumId="289">
    <w:nsid w:val="3822CB01"/>
    <w:multiLevelType w:val="hybridMultilevel"/>
    <w:lvl w:ilvl="0">
      <w:lvlJc w:val="left"/>
      <w:lvlText w:val="%1."/>
      <w:numFmt w:val="decimal"/>
      <w:start w:val="1"/>
    </w:lvl>
  </w:abstractNum>
  <w:abstractNum w:abstractNumId="290">
    <w:nsid w:val="6CE0044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2019-12-10T14:41:23Z</dcterms:created>
  <dcterms:modified xsi:type="dcterms:W3CDTF">2019-12-10T14:41:23Z</dcterms:modified>
</cp:coreProperties>
</file>