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 the month of November 2019</w:t>
      </w:r>
    </w:p>
    <w:p>
      <w:pPr>
        <w:spacing w:after="0" w:line="22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Commission File Number: 001-14014</w:t>
      </w:r>
    </w:p>
    <w:p>
      <w:pPr>
        <w:spacing w:after="0" w:line="217" w:lineRule="exact"/>
        <w:rPr>
          <w:sz w:val="24"/>
          <w:szCs w:val="24"/>
          <w:color w:val="auto"/>
        </w:rPr>
      </w:pPr>
    </w:p>
    <w:p>
      <w:pPr>
        <w:jc w:val="center"/>
        <w:ind w:right="-1200"/>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22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470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631190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729" w:right="1440" w:bottom="1440" w:gutter="0" w:footer="0" w:header="0"/>
        </w:sectPr>
      </w:pPr>
    </w:p>
    <w:bookmarkStart w:id="1" w:name="page2"/>
    <w:bookmarkEnd w:id="1"/>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November 8</w:t>
      </w:r>
      <w:r>
        <w:rPr>
          <w:rFonts w:ascii="Arial" w:cs="Arial" w:eastAsia="Arial" w:hAnsi="Arial"/>
          <w:sz w:val="30"/>
          <w:szCs w:val="30"/>
          <w:color w:val="auto"/>
          <w:vertAlign w:val="superscript"/>
        </w:rPr>
        <w:t>th</w:t>
      </w:r>
      <w:r>
        <w:rPr>
          <w:rFonts w:ascii="Arial" w:cs="Arial" w:eastAsia="Arial" w:hAnsi="Arial"/>
          <w:sz w:val="18"/>
          <w:szCs w:val="18"/>
          <w:color w:val="auto"/>
        </w:rPr>
        <w:t>, 2019</w:t>
      </w:r>
    </w:p>
    <w:p>
      <w:pPr>
        <w:spacing w:after="0" w:line="1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Bottger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Miriam Bottger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CREDICORP Ltd.</w:t>
      </w:r>
    </w:p>
    <w:p>
      <w:pPr>
        <w:spacing w:after="0" w:line="219" w:lineRule="exact"/>
        <w:rPr>
          <w:sz w:val="20"/>
          <w:szCs w:val="20"/>
          <w:color w:val="auto"/>
        </w:rPr>
      </w:pPr>
    </w:p>
    <w:p>
      <w:pPr>
        <w:jc w:val="both"/>
        <w:spacing w:after="0" w:line="211" w:lineRule="auto"/>
        <w:rPr>
          <w:sz w:val="20"/>
          <w:szCs w:val="20"/>
          <w:color w:val="auto"/>
        </w:rPr>
      </w:pPr>
      <w:r>
        <w:rPr>
          <w:rFonts w:ascii="Arial" w:cs="Arial" w:eastAsia="Arial" w:hAnsi="Arial"/>
          <w:sz w:val="18"/>
          <w:szCs w:val="18"/>
          <w:b w:val="1"/>
          <w:bCs w:val="1"/>
          <w:color w:val="auto"/>
        </w:rPr>
        <w:t>Lima, Peru, November 7</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2019 </w:t>
      </w:r>
      <w:r>
        <w:rPr>
          <w:rFonts w:ascii="Arial" w:cs="Arial" w:eastAsia="Arial" w:hAnsi="Arial"/>
          <w:sz w:val="18"/>
          <w:szCs w:val="18"/>
          <w:color w:val="auto"/>
        </w:rPr>
        <w:t>– Credicorp (NYSE: BAP) announced its unaudited results for the third quarter of 2019. These results are consolidated</w:t>
      </w:r>
      <w:r>
        <w:rPr>
          <w:rFonts w:ascii="Arial" w:cs="Arial" w:eastAsia="Arial" w:hAnsi="Arial"/>
          <w:sz w:val="18"/>
          <w:szCs w:val="18"/>
          <w:b w:val="1"/>
          <w:bCs w:val="1"/>
          <w:color w:val="auto"/>
        </w:rPr>
        <w:t xml:space="preserve"> </w:t>
      </w:r>
      <w:r>
        <w:rPr>
          <w:rFonts w:ascii="Arial" w:cs="Arial" w:eastAsia="Arial" w:hAnsi="Arial"/>
          <w:sz w:val="18"/>
          <w:szCs w:val="18"/>
          <w:color w:val="auto"/>
        </w:rPr>
        <w:t>according to IFRS in Soles.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Quarter Results 2019</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3Q19, Credicorp reported net income of S/ 1,093.0 million, which translated into an ROAE and ROAA of 17.1% and 2.4%, respectively. This result represented a decline of -0.5% and growth of +8.1% and +8.8% in net income QoQ, YoY and at year-to-date respectively.</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QoQ evolution registered an increase in net interest income (NII), in line with an uptick in loan growth. The aforementioned was offset by an increase in the expense for provisions for loan losses, mainly at BCP Stand-alone, and by growth in operating expenses.</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increase in net income YoY and at the year-to-date level was mainly attributable to growth in net interest income (NII) and to an increase in non-financial income, which was driven by an increase in the net gain on sales of securities. This was partially offset by an increase in the expense for provisions for loan losses and by growth in operating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results in 3Q19 reveal:</w:t>
      </w:r>
    </w:p>
    <w:p>
      <w:pPr>
        <w:spacing w:after="0" w:line="225" w:lineRule="exact"/>
        <w:rPr>
          <w:sz w:val="20"/>
          <w:szCs w:val="20"/>
          <w:color w:val="auto"/>
        </w:rPr>
      </w:pPr>
    </w:p>
    <w:p>
      <w:pPr>
        <w:jc w:val="both"/>
        <w:ind w:right="20" w:firstLine="8"/>
        <w:spacing w:after="0" w:line="312" w:lineRule="auto"/>
        <w:tabs>
          <w:tab w:leader="none" w:pos="126" w:val="left"/>
        </w:tabs>
        <w:numPr>
          <w:ilvl w:val="0"/>
          <w:numId w:val="1"/>
        </w:numPr>
        <w:rPr>
          <w:rFonts w:ascii="Arial" w:cs="Arial" w:eastAsia="Arial" w:hAnsi="Arial"/>
          <w:sz w:val="16"/>
          <w:szCs w:val="16"/>
          <w:color w:val="auto"/>
        </w:rPr>
      </w:pPr>
      <w:r>
        <w:rPr>
          <w:rFonts w:ascii="Arial" w:cs="Arial" w:eastAsia="Arial" w:hAnsi="Arial"/>
          <w:sz w:val="16"/>
          <w:szCs w:val="16"/>
          <w:color w:val="auto"/>
        </w:rPr>
        <w:t>QoQ expansion of average daily loan balances in all segments, which was primarily attributable to loan growth in Retail Banking. In the YoY analysis, which eliminates the seasonal effect, total loans measured in average daily balances grew 7.0%, which represented an improvement over last quarter’s figure. Growth was led by Retail Banking through the Mortgage, Credit Card and Consumer segments. Additionally, portfolio growth was mainly in local currency.</w:t>
      </w:r>
    </w:p>
    <w:p>
      <w:pPr>
        <w:spacing w:after="0" w:line="146" w:lineRule="exact"/>
        <w:rPr>
          <w:rFonts w:ascii="Arial" w:cs="Arial" w:eastAsia="Arial" w:hAnsi="Arial"/>
          <w:sz w:val="16"/>
          <w:szCs w:val="16"/>
          <w:color w:val="auto"/>
        </w:rPr>
      </w:pPr>
    </w:p>
    <w:p>
      <w:pPr>
        <w:jc w:val="both"/>
        <w:ind w:right="20" w:firstLine="8"/>
        <w:spacing w:after="0" w:line="255" w:lineRule="auto"/>
        <w:tabs>
          <w:tab w:leader="none" w:pos="111" w:val="left"/>
        </w:tabs>
        <w:numPr>
          <w:ilvl w:val="0"/>
          <w:numId w:val="1"/>
        </w:numPr>
        <w:rPr>
          <w:rFonts w:ascii="Arial" w:cs="Arial" w:eastAsia="Arial" w:hAnsi="Arial"/>
          <w:sz w:val="18"/>
          <w:szCs w:val="18"/>
          <w:color w:val="auto"/>
        </w:rPr>
      </w:pPr>
      <w:r>
        <w:rPr>
          <w:rFonts w:ascii="Arial" w:cs="Arial" w:eastAsia="Arial" w:hAnsi="Arial"/>
          <w:sz w:val="18"/>
          <w:szCs w:val="18"/>
          <w:color w:val="auto"/>
        </w:rPr>
        <w:t>NII expanded +0.9% QoQ and +6.5% YoY in line with loan growth, which offset higher interest expenses on bonds and subordinated notes that was related to the liability management in BCP Stand-alone that affected both local as well as foreign currency. This extended maturities and reduced rates on both issuances. Additionally, related with better-than-expected demand, BCP raise new money from this transaction in both currencies. At the year-to-date level, the evolution was similar: NII expanded +7.7% due to growth in total loans, which registered growth primarily in higher-margin segments within BCP Stand-alone and in local currency. However, because interest earning assets grew at a higher pace than NII, the net interest margin (NIM) fell -8 bps QoQ and -13 pbs YoY. YTD, NIM increased +6 bps.</w:t>
      </w:r>
    </w:p>
    <w:p>
      <w:pPr>
        <w:spacing w:after="0" w:line="193" w:lineRule="exact"/>
        <w:rPr>
          <w:rFonts w:ascii="Arial" w:cs="Arial" w:eastAsia="Arial" w:hAnsi="Arial"/>
          <w:sz w:val="18"/>
          <w:szCs w:val="18"/>
          <w:color w:val="auto"/>
        </w:rPr>
      </w:pPr>
    </w:p>
    <w:p>
      <w:pPr>
        <w:jc w:val="both"/>
        <w:ind w:firstLine="8"/>
        <w:spacing w:after="0" w:line="264" w:lineRule="auto"/>
        <w:tabs>
          <w:tab w:leader="none" w:pos="118"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Provisions for loan losses net of recoveries registered growth of 12.2%, 14.4% and 18.7% QoQ, YoY and in YTD terms respectively. In this scenario, the cost of risk (CofR) increased +15 bps QoQ, +12 bps YoY and +16 bps in YTD terms, which was primarily due to an increase in the CofR at BCP Stand-alone after the provisions requirement for the Retail Banking portfolio rose.</w:t>
      </w:r>
    </w:p>
    <w:p>
      <w:pPr>
        <w:spacing w:after="0" w:line="181"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this context, risk-adjusted NIM fell -18 bps QoQ, -18 bps YoY and -5 bps at the YTD, in line with growth in the CofR.</w:t>
      </w:r>
    </w:p>
    <w:p>
      <w:pPr>
        <w:spacing w:after="0" w:line="225" w:lineRule="exact"/>
        <w:rPr>
          <w:rFonts w:ascii="Arial" w:cs="Arial" w:eastAsia="Arial" w:hAnsi="Arial"/>
          <w:sz w:val="18"/>
          <w:szCs w:val="18"/>
          <w:color w:val="auto"/>
        </w:rPr>
      </w:pPr>
    </w:p>
    <w:p>
      <w:pPr>
        <w:jc w:val="both"/>
        <w:ind w:firstLine="8"/>
        <w:spacing w:after="0" w:line="259" w:lineRule="auto"/>
        <w:tabs>
          <w:tab w:leader="none" w:pos="122"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Non-financial income expanded +6.6% QoQ. This growth was primarily attributable to an increase in the net gain on sales of securities due to favorable evolution at BCP Stand-alone and, to a lesser extent, to growth in fee income. It is important to note that the pace of growth of fee income has slowed throughout the years due to regulatory changes that affect the fees charged to retail clients; more competition in the market; and the current transactional strategy to encourage clients to migrate to digital channels.</w:t>
      </w:r>
    </w:p>
    <w:p>
      <w:pPr>
        <w:spacing w:after="0" w:line="186" w:lineRule="exact"/>
        <w:rPr>
          <w:rFonts w:ascii="Arial" w:cs="Arial" w:eastAsia="Arial" w:hAnsi="Arial"/>
          <w:sz w:val="18"/>
          <w:szCs w:val="18"/>
          <w:color w:val="auto"/>
        </w:rPr>
      </w:pPr>
    </w:p>
    <w:p>
      <w:pPr>
        <w:ind w:right="20" w:firstLine="8"/>
        <w:spacing w:after="0" w:line="277" w:lineRule="auto"/>
        <w:tabs>
          <w:tab w:leader="none" w:pos="129"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insurance underwriting result reported an increase of +6.0% QoQ, 3.7% YoY and +1.0% at the YTD level, which was primarily attributable to an increase in net earned premiums for life insurance and property and casualty insurance.</w:t>
      </w:r>
    </w:p>
    <w:p>
      <w:pPr>
        <w:spacing w:after="0" w:line="170" w:lineRule="exact"/>
        <w:rPr>
          <w:rFonts w:ascii="Arial" w:cs="Arial" w:eastAsia="Arial" w:hAnsi="Arial"/>
          <w:sz w:val="18"/>
          <w:szCs w:val="18"/>
          <w:color w:val="auto"/>
        </w:rPr>
      </w:pPr>
    </w:p>
    <w:p>
      <w:pPr>
        <w:jc w:val="both"/>
        <w:ind w:firstLine="8"/>
        <w:spacing w:after="0" w:line="264" w:lineRule="auto"/>
        <w:tabs>
          <w:tab w:leader="none" w:pos="11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efficiency ratio increased +10 bps QoQ, in line with a seasonal increase in operating expenses given that expenses tend to be higher in the second half of the year. The efficiency ratio fell -40 bps both YoY and at the YTD level, in line with growth in net interest income (NII), which offset the increase in salaries and employee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1864995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124460</wp:posOffset>
            </wp:positionV>
            <wp:extent cx="7289165" cy="11747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117475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8140" w:type="dxa"/>
            <w:vAlign w:val="bottom"/>
            <w:gridSpan w:val="4"/>
          </w:tcPr>
          <w:p>
            <w:pPr>
              <w:spacing w:after="0"/>
              <w:rPr>
                <w:sz w:val="20"/>
                <w:szCs w:val="20"/>
                <w:color w:val="auto"/>
              </w:rPr>
            </w:pPr>
            <w:r>
              <w:rPr>
                <w:rFonts w:ascii="Arial" w:cs="Arial" w:eastAsia="Arial" w:hAnsi="Arial"/>
                <w:sz w:val="18"/>
                <w:szCs w:val="18"/>
                <w:color w:val="auto"/>
              </w:rPr>
              <w:t>Table of Contents</w:t>
            </w:r>
          </w:p>
        </w:tc>
        <w:tc>
          <w:tcPr>
            <w:tcW w:w="3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20" w:type="dxa"/>
            <w:vAlign w:val="bottom"/>
            <w:gridSpan w:val="3"/>
          </w:tcPr>
          <w:p>
            <w:pPr>
              <w:spacing w:after="0"/>
              <w:rPr>
                <w:sz w:val="18"/>
                <w:szCs w:val="18"/>
                <w:color w:val="auto"/>
              </w:rPr>
            </w:pPr>
          </w:p>
        </w:tc>
        <w:tc>
          <w:tcPr>
            <w:tcW w:w="3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Credicorp (NYSE: BAP): Third Quarter Results 2019</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2"/>
          </w:tcPr>
          <w:p>
            <w:pPr>
              <w:ind w:left="60"/>
              <w:spacing w:after="0"/>
              <w:rPr>
                <w:sz w:val="20"/>
                <w:szCs w:val="20"/>
                <w:color w:val="auto"/>
              </w:rPr>
            </w:pPr>
            <w:r>
              <w:rPr>
                <w:rFonts w:ascii="Arial" w:cs="Arial" w:eastAsia="Arial" w:hAnsi="Arial"/>
                <w:sz w:val="18"/>
                <w:szCs w:val="18"/>
                <w:color w:val="auto"/>
              </w:rPr>
              <w:t>Financial Overview</w:t>
            </w:r>
          </w:p>
        </w:tc>
        <w:tc>
          <w:tcPr>
            <w:tcW w:w="32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Credicorp and subsidiaries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1.</w:t>
            </w:r>
          </w:p>
        </w:tc>
        <w:tc>
          <w:tcPr>
            <w:tcW w:w="7840" w:type="dxa"/>
            <w:vAlign w:val="bottom"/>
            <w:gridSpan w:val="2"/>
          </w:tcPr>
          <w:p>
            <w:pPr>
              <w:ind w:left="220"/>
              <w:spacing w:after="0"/>
              <w:rPr>
                <w:sz w:val="20"/>
                <w:szCs w:val="20"/>
                <w:color w:val="auto"/>
              </w:rPr>
            </w:pPr>
            <w:r>
              <w:rPr>
                <w:rFonts w:ascii="Arial" w:cs="Arial" w:eastAsia="Arial" w:hAnsi="Arial"/>
                <w:sz w:val="18"/>
                <w:szCs w:val="18"/>
                <w:color w:val="auto"/>
              </w:rPr>
              <w:t>Interest-earning assets (IEA)</w:t>
            </w:r>
          </w:p>
        </w:tc>
        <w:tc>
          <w:tcPr>
            <w:tcW w:w="32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1.1.</w:t>
            </w:r>
          </w:p>
        </w:tc>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Evolution of IEA</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w w:val="93"/>
              </w:rPr>
              <w:t>1.2.</w:t>
            </w:r>
          </w:p>
        </w:tc>
        <w:tc>
          <w:tcPr>
            <w:tcW w:w="7480" w:type="dxa"/>
            <w:vAlign w:val="bottom"/>
          </w:tcPr>
          <w:p>
            <w:pPr>
              <w:ind w:left="20"/>
              <w:spacing w:after="0"/>
              <w:rPr>
                <w:sz w:val="20"/>
                <w:szCs w:val="20"/>
                <w:color w:val="auto"/>
              </w:rPr>
            </w:pPr>
            <w:r>
              <w:rPr>
                <w:rFonts w:ascii="Arial" w:cs="Arial" w:eastAsia="Arial" w:hAnsi="Arial"/>
                <w:sz w:val="18"/>
                <w:szCs w:val="18"/>
                <w:color w:val="auto"/>
              </w:rPr>
              <w:t>Credicorp Loans</w:t>
            </w:r>
          </w:p>
        </w:tc>
        <w:tc>
          <w:tcPr>
            <w:tcW w:w="328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1.2.1. Loan evolution by business segment</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2"/>
          </w:tcPr>
          <w:p>
            <w:pPr>
              <w:ind w:left="220"/>
              <w:spacing w:after="0"/>
              <w:rPr>
                <w:sz w:val="20"/>
                <w:szCs w:val="20"/>
                <w:color w:val="auto"/>
              </w:rPr>
            </w:pPr>
            <w:r>
              <w:rPr>
                <w:rFonts w:ascii="Arial" w:cs="Arial" w:eastAsia="Arial" w:hAnsi="Arial"/>
                <w:sz w:val="18"/>
                <w:szCs w:val="18"/>
                <w:color w:val="auto"/>
              </w:rPr>
              <w:t>1.2.2. Evolution of the level of dollarization by segment</w:t>
            </w:r>
          </w:p>
        </w:tc>
        <w:tc>
          <w:tcPr>
            <w:tcW w:w="328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1.2.3. BCRP de-dollarization plan at BCP Stand-alone</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2"/>
          </w:tcPr>
          <w:p>
            <w:pPr>
              <w:ind w:left="220"/>
              <w:spacing w:after="0"/>
              <w:rPr>
                <w:sz w:val="20"/>
                <w:szCs w:val="20"/>
                <w:color w:val="auto"/>
              </w:rPr>
            </w:pPr>
            <w:r>
              <w:rPr>
                <w:rFonts w:ascii="Arial" w:cs="Arial" w:eastAsia="Arial" w:hAnsi="Arial"/>
                <w:sz w:val="18"/>
                <w:szCs w:val="18"/>
                <w:color w:val="auto"/>
              </w:rPr>
              <w:t>1.2.4. Market share in loans</w:t>
            </w:r>
          </w:p>
        </w:tc>
        <w:tc>
          <w:tcPr>
            <w:tcW w:w="32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2.</w:t>
            </w:r>
          </w:p>
        </w:tc>
        <w:tc>
          <w:tcPr>
            <w:tcW w:w="7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Funding Sources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w w:val="93"/>
              </w:rPr>
              <w:t>2.1.</w:t>
            </w:r>
          </w:p>
        </w:tc>
        <w:tc>
          <w:tcPr>
            <w:tcW w:w="7480" w:type="dxa"/>
            <w:vAlign w:val="bottom"/>
          </w:tcPr>
          <w:p>
            <w:pPr>
              <w:ind w:left="20"/>
              <w:spacing w:after="0"/>
              <w:rPr>
                <w:sz w:val="20"/>
                <w:szCs w:val="20"/>
                <w:color w:val="auto"/>
              </w:rPr>
            </w:pPr>
            <w:r>
              <w:rPr>
                <w:rFonts w:ascii="Arial" w:cs="Arial" w:eastAsia="Arial" w:hAnsi="Arial"/>
                <w:sz w:val="18"/>
                <w:szCs w:val="18"/>
                <w:color w:val="auto"/>
              </w:rPr>
              <w:t>Funding Structure</w:t>
            </w:r>
          </w:p>
        </w:tc>
        <w:tc>
          <w:tcPr>
            <w:tcW w:w="328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2.2.</w:t>
            </w:r>
          </w:p>
        </w:tc>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Deposits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2"/>
          </w:tcPr>
          <w:p>
            <w:pPr>
              <w:ind w:left="220"/>
              <w:spacing w:after="0"/>
              <w:rPr>
                <w:sz w:val="20"/>
                <w:szCs w:val="20"/>
                <w:color w:val="auto"/>
              </w:rPr>
            </w:pPr>
            <w:r>
              <w:rPr>
                <w:rFonts w:ascii="Arial" w:cs="Arial" w:eastAsia="Arial" w:hAnsi="Arial"/>
                <w:sz w:val="18"/>
                <w:szCs w:val="18"/>
                <w:color w:val="auto"/>
              </w:rPr>
              <w:t>2.2.1. Deposits: dollarization level</w:t>
            </w:r>
          </w:p>
        </w:tc>
        <w:tc>
          <w:tcPr>
            <w:tcW w:w="32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2.2.2. Market share in Deposits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w w:val="93"/>
              </w:rPr>
              <w:t>2.3.</w:t>
            </w:r>
          </w:p>
        </w:tc>
        <w:tc>
          <w:tcPr>
            <w:tcW w:w="7480" w:type="dxa"/>
            <w:vAlign w:val="bottom"/>
          </w:tcPr>
          <w:p>
            <w:pPr>
              <w:ind w:left="20"/>
              <w:spacing w:after="0"/>
              <w:rPr>
                <w:sz w:val="20"/>
                <w:szCs w:val="20"/>
                <w:color w:val="auto"/>
              </w:rPr>
            </w:pPr>
            <w:r>
              <w:rPr>
                <w:rFonts w:ascii="Arial" w:cs="Arial" w:eastAsia="Arial" w:hAnsi="Arial"/>
                <w:sz w:val="18"/>
                <w:szCs w:val="18"/>
                <w:color w:val="auto"/>
              </w:rPr>
              <w:t>Other funding sources</w:t>
            </w:r>
          </w:p>
        </w:tc>
        <w:tc>
          <w:tcPr>
            <w:tcW w:w="32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2.4.</w:t>
            </w:r>
          </w:p>
        </w:tc>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 / Deposit (L/D)</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w w:val="93"/>
              </w:rPr>
              <w:t>2.5.</w:t>
            </w:r>
          </w:p>
        </w:tc>
        <w:tc>
          <w:tcPr>
            <w:tcW w:w="7480" w:type="dxa"/>
            <w:vAlign w:val="bottom"/>
          </w:tcPr>
          <w:p>
            <w:pPr>
              <w:ind w:left="20"/>
              <w:spacing w:after="0"/>
              <w:rPr>
                <w:sz w:val="20"/>
                <w:szCs w:val="20"/>
                <w:color w:val="auto"/>
              </w:rPr>
            </w:pPr>
            <w:r>
              <w:rPr>
                <w:rFonts w:ascii="Arial" w:cs="Arial" w:eastAsia="Arial" w:hAnsi="Arial"/>
                <w:sz w:val="18"/>
                <w:szCs w:val="18"/>
                <w:color w:val="auto"/>
              </w:rPr>
              <w:t>Funding Cost</w:t>
            </w:r>
          </w:p>
        </w:tc>
        <w:tc>
          <w:tcPr>
            <w:tcW w:w="32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7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Portfolio quality and Provisions for loan losses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w w:val="93"/>
              </w:rPr>
              <w:t>3.1.</w:t>
            </w:r>
          </w:p>
        </w:tc>
        <w:tc>
          <w:tcPr>
            <w:tcW w:w="7480" w:type="dxa"/>
            <w:vAlign w:val="bottom"/>
          </w:tcPr>
          <w:p>
            <w:pPr>
              <w:ind w:left="20"/>
              <w:spacing w:after="0"/>
              <w:rPr>
                <w:sz w:val="20"/>
                <w:szCs w:val="20"/>
                <w:color w:val="auto"/>
              </w:rPr>
            </w:pPr>
            <w:r>
              <w:rPr>
                <w:rFonts w:ascii="Arial" w:cs="Arial" w:eastAsia="Arial" w:hAnsi="Arial"/>
                <w:sz w:val="18"/>
                <w:szCs w:val="18"/>
                <w:color w:val="auto"/>
              </w:rPr>
              <w:t>Provisions for loan losses</w:t>
            </w:r>
          </w:p>
        </w:tc>
        <w:tc>
          <w:tcPr>
            <w:tcW w:w="328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3.2.</w:t>
            </w:r>
          </w:p>
        </w:tc>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Portfolio Quality: Delinquency ratios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2"/>
          </w:tcPr>
          <w:p>
            <w:pPr>
              <w:ind w:left="220"/>
              <w:spacing w:after="0"/>
              <w:rPr>
                <w:sz w:val="20"/>
                <w:szCs w:val="20"/>
                <w:color w:val="auto"/>
              </w:rPr>
            </w:pPr>
            <w:r>
              <w:rPr>
                <w:rFonts w:ascii="Arial" w:cs="Arial" w:eastAsia="Arial" w:hAnsi="Arial"/>
                <w:sz w:val="18"/>
                <w:szCs w:val="18"/>
                <w:color w:val="auto"/>
              </w:rPr>
              <w:t>3.2.1. Delinquency indicators by business line</w:t>
            </w:r>
          </w:p>
        </w:tc>
        <w:tc>
          <w:tcPr>
            <w:tcW w:w="32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4.</w:t>
            </w:r>
          </w:p>
        </w:tc>
        <w:tc>
          <w:tcPr>
            <w:tcW w:w="7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Interest Income (NII)</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w w:val="93"/>
              </w:rPr>
              <w:t>4.1.</w:t>
            </w:r>
          </w:p>
        </w:tc>
        <w:tc>
          <w:tcPr>
            <w:tcW w:w="74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28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4.2.</w:t>
            </w:r>
          </w:p>
        </w:tc>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w w:val="93"/>
              </w:rPr>
              <w:t>4.3.</w:t>
            </w:r>
          </w:p>
        </w:tc>
        <w:tc>
          <w:tcPr>
            <w:tcW w:w="7480" w:type="dxa"/>
            <w:vAlign w:val="bottom"/>
          </w:tcPr>
          <w:p>
            <w:pPr>
              <w:ind w:left="20"/>
              <w:spacing w:after="0"/>
              <w:rPr>
                <w:sz w:val="20"/>
                <w:szCs w:val="20"/>
                <w:color w:val="auto"/>
              </w:rPr>
            </w:pPr>
            <w:r>
              <w:rPr>
                <w:rFonts w:ascii="Arial" w:cs="Arial" w:eastAsia="Arial" w:hAnsi="Arial"/>
                <w:sz w:val="18"/>
                <w:szCs w:val="18"/>
                <w:color w:val="auto"/>
              </w:rPr>
              <w:t>Net Interest Margin (NIM) and Risk-Adjusted NIM</w:t>
            </w:r>
          </w:p>
        </w:tc>
        <w:tc>
          <w:tcPr>
            <w:tcW w:w="328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7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Non-Financial Income</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w w:val="93"/>
              </w:rPr>
              <w:t>5.1.</w:t>
            </w:r>
          </w:p>
        </w:tc>
        <w:tc>
          <w:tcPr>
            <w:tcW w:w="7480" w:type="dxa"/>
            <w:vAlign w:val="bottom"/>
          </w:tcPr>
          <w:p>
            <w:pPr>
              <w:ind w:left="20"/>
              <w:spacing w:after="0"/>
              <w:rPr>
                <w:sz w:val="20"/>
                <w:szCs w:val="20"/>
                <w:color w:val="auto"/>
              </w:rPr>
            </w:pPr>
            <w:r>
              <w:rPr>
                <w:rFonts w:ascii="Arial" w:cs="Arial" w:eastAsia="Arial" w:hAnsi="Arial"/>
                <w:sz w:val="18"/>
                <w:szCs w:val="18"/>
                <w:color w:val="auto"/>
              </w:rPr>
              <w:t>Fee Income</w:t>
            </w:r>
          </w:p>
        </w:tc>
        <w:tc>
          <w:tcPr>
            <w:tcW w:w="328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5.1.1. By subsidiary</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2"/>
          </w:tcPr>
          <w:p>
            <w:pPr>
              <w:ind w:left="220"/>
              <w:spacing w:after="0"/>
              <w:rPr>
                <w:sz w:val="20"/>
                <w:szCs w:val="20"/>
                <w:color w:val="auto"/>
              </w:rPr>
            </w:pPr>
            <w:r>
              <w:rPr>
                <w:rFonts w:ascii="Arial" w:cs="Arial" w:eastAsia="Arial" w:hAnsi="Arial"/>
                <w:sz w:val="18"/>
                <w:szCs w:val="18"/>
                <w:color w:val="auto"/>
              </w:rPr>
              <w:t>5.1.2. Fee income in the Banking Business</w:t>
            </w:r>
          </w:p>
        </w:tc>
        <w:tc>
          <w:tcPr>
            <w:tcW w:w="32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6.</w:t>
            </w:r>
          </w:p>
        </w:tc>
        <w:tc>
          <w:tcPr>
            <w:tcW w:w="7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Insurance Underwriting Result</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w w:val="93"/>
              </w:rPr>
              <w:t>6.1.</w:t>
            </w:r>
          </w:p>
        </w:tc>
        <w:tc>
          <w:tcPr>
            <w:tcW w:w="7480" w:type="dxa"/>
            <w:vAlign w:val="bottom"/>
          </w:tcPr>
          <w:p>
            <w:pPr>
              <w:ind w:left="20"/>
              <w:spacing w:after="0"/>
              <w:rPr>
                <w:sz w:val="20"/>
                <w:szCs w:val="20"/>
                <w:color w:val="auto"/>
              </w:rPr>
            </w:pPr>
            <w:r>
              <w:rPr>
                <w:rFonts w:ascii="Arial" w:cs="Arial" w:eastAsia="Arial" w:hAnsi="Arial"/>
                <w:sz w:val="18"/>
                <w:szCs w:val="18"/>
                <w:color w:val="auto"/>
              </w:rPr>
              <w:t>Net earned premiums</w:t>
            </w:r>
          </w:p>
        </w:tc>
        <w:tc>
          <w:tcPr>
            <w:tcW w:w="328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6.2.</w:t>
            </w:r>
          </w:p>
        </w:tc>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claims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w w:val="93"/>
              </w:rPr>
              <w:t>6.3.</w:t>
            </w:r>
          </w:p>
        </w:tc>
        <w:tc>
          <w:tcPr>
            <w:tcW w:w="7480" w:type="dxa"/>
            <w:vAlign w:val="bottom"/>
          </w:tcPr>
          <w:p>
            <w:pPr>
              <w:ind w:left="20"/>
              <w:spacing w:after="0"/>
              <w:rPr>
                <w:sz w:val="20"/>
                <w:szCs w:val="20"/>
                <w:color w:val="auto"/>
              </w:rPr>
            </w:pPr>
            <w:r>
              <w:rPr>
                <w:rFonts w:ascii="Arial" w:cs="Arial" w:eastAsia="Arial" w:hAnsi="Arial"/>
                <w:sz w:val="18"/>
                <w:szCs w:val="18"/>
                <w:color w:val="auto"/>
              </w:rPr>
              <w:t>Acquisition cost</w:t>
            </w:r>
          </w:p>
        </w:tc>
        <w:tc>
          <w:tcPr>
            <w:tcW w:w="328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7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Expenses and Efficiency</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w w:val="93"/>
              </w:rPr>
              <w:t>7.1.</w:t>
            </w:r>
          </w:p>
        </w:tc>
        <w:tc>
          <w:tcPr>
            <w:tcW w:w="7480" w:type="dxa"/>
            <w:vAlign w:val="bottom"/>
          </w:tcPr>
          <w:p>
            <w:pPr>
              <w:ind w:left="20"/>
              <w:spacing w:after="0"/>
              <w:rPr>
                <w:sz w:val="20"/>
                <w:szCs w:val="20"/>
                <w:color w:val="auto"/>
              </w:rPr>
            </w:pPr>
            <w:r>
              <w:rPr>
                <w:rFonts w:ascii="Arial" w:cs="Arial" w:eastAsia="Arial" w:hAnsi="Arial"/>
                <w:sz w:val="18"/>
                <w:szCs w:val="18"/>
                <w:color w:val="auto"/>
              </w:rPr>
              <w:t>Credicorp’s Administrative, General and Tax Expenses</w:t>
            </w:r>
          </w:p>
        </w:tc>
        <w:tc>
          <w:tcPr>
            <w:tcW w:w="328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7.2.</w:t>
            </w:r>
          </w:p>
        </w:tc>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Efficiency Ratio</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8.</w:t>
            </w:r>
          </w:p>
        </w:tc>
        <w:tc>
          <w:tcPr>
            <w:tcW w:w="7840" w:type="dxa"/>
            <w:vAlign w:val="bottom"/>
            <w:gridSpan w:val="2"/>
          </w:tcPr>
          <w:p>
            <w:pPr>
              <w:ind w:left="220"/>
              <w:spacing w:after="0"/>
              <w:rPr>
                <w:sz w:val="20"/>
                <w:szCs w:val="20"/>
                <w:color w:val="auto"/>
              </w:rPr>
            </w:pPr>
            <w:r>
              <w:rPr>
                <w:rFonts w:ascii="Arial" w:cs="Arial" w:eastAsia="Arial" w:hAnsi="Arial"/>
                <w:sz w:val="18"/>
                <w:szCs w:val="18"/>
                <w:color w:val="auto"/>
              </w:rPr>
              <w:t>Regulatory Capital</w:t>
            </w:r>
          </w:p>
        </w:tc>
        <w:tc>
          <w:tcPr>
            <w:tcW w:w="328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8.1.</w:t>
            </w:r>
          </w:p>
        </w:tc>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Capital – BAP</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w w:val="93"/>
              </w:rPr>
              <w:t>8.2.</w:t>
            </w:r>
          </w:p>
        </w:tc>
        <w:tc>
          <w:tcPr>
            <w:tcW w:w="7480" w:type="dxa"/>
            <w:vAlign w:val="bottom"/>
          </w:tcPr>
          <w:p>
            <w:pPr>
              <w:ind w:left="20"/>
              <w:spacing w:after="0"/>
              <w:rPr>
                <w:sz w:val="20"/>
                <w:szCs w:val="20"/>
                <w:color w:val="auto"/>
              </w:rPr>
            </w:pPr>
            <w:r>
              <w:rPr>
                <w:rFonts w:ascii="Arial" w:cs="Arial" w:eastAsia="Arial" w:hAnsi="Arial"/>
                <w:sz w:val="18"/>
                <w:szCs w:val="18"/>
                <w:color w:val="auto"/>
              </w:rPr>
              <w:t>Regulatory Capital – BCP Stand-alone based on Peru GAAP</w:t>
            </w:r>
          </w:p>
        </w:tc>
        <w:tc>
          <w:tcPr>
            <w:tcW w:w="328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7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Distribution channels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w w:val="93"/>
              </w:rPr>
              <w:t>9.1.</w:t>
            </w:r>
          </w:p>
        </w:tc>
        <w:tc>
          <w:tcPr>
            <w:tcW w:w="7480" w:type="dxa"/>
            <w:vAlign w:val="bottom"/>
          </w:tcPr>
          <w:p>
            <w:pPr>
              <w:ind w:left="20"/>
              <w:spacing w:after="0"/>
              <w:rPr>
                <w:sz w:val="20"/>
                <w:szCs w:val="20"/>
                <w:color w:val="auto"/>
              </w:rPr>
            </w:pPr>
            <w:r>
              <w:rPr>
                <w:rFonts w:ascii="Arial" w:cs="Arial" w:eastAsia="Arial" w:hAnsi="Arial"/>
                <w:sz w:val="18"/>
                <w:szCs w:val="18"/>
                <w:color w:val="auto"/>
              </w:rPr>
              <w:t>Universal Banking</w:t>
            </w:r>
          </w:p>
        </w:tc>
        <w:tc>
          <w:tcPr>
            <w:tcW w:w="328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9.1.1. Points of Contact – BCP Stand-alone</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2"/>
          </w:tcPr>
          <w:p>
            <w:pPr>
              <w:ind w:left="220"/>
              <w:spacing w:after="0"/>
              <w:rPr>
                <w:sz w:val="20"/>
                <w:szCs w:val="20"/>
                <w:color w:val="auto"/>
              </w:rPr>
            </w:pPr>
            <w:r>
              <w:rPr>
                <w:rFonts w:ascii="Arial" w:cs="Arial" w:eastAsia="Arial" w:hAnsi="Arial"/>
                <w:sz w:val="18"/>
                <w:szCs w:val="18"/>
                <w:color w:val="auto"/>
              </w:rPr>
              <w:t>9.1.2. Points of contact by geographic area – BCP Stand-alone</w:t>
            </w:r>
          </w:p>
        </w:tc>
        <w:tc>
          <w:tcPr>
            <w:tcW w:w="328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9.1.3. Transactions per channel – BCP Stand-alone</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2"/>
          </w:tcPr>
          <w:p>
            <w:pPr>
              <w:ind w:left="220"/>
              <w:spacing w:after="0"/>
              <w:rPr>
                <w:sz w:val="20"/>
                <w:szCs w:val="20"/>
                <w:color w:val="auto"/>
              </w:rPr>
            </w:pPr>
            <w:r>
              <w:rPr>
                <w:rFonts w:ascii="Arial" w:cs="Arial" w:eastAsia="Arial" w:hAnsi="Arial"/>
                <w:sz w:val="18"/>
                <w:szCs w:val="18"/>
                <w:color w:val="auto"/>
              </w:rPr>
              <w:t>9.1.4. Points of Contact – BCP Bolivia</w:t>
            </w:r>
          </w:p>
        </w:tc>
        <w:tc>
          <w:tcPr>
            <w:tcW w:w="328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9.2.</w:t>
            </w:r>
          </w:p>
        </w:tc>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Microfinance</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2"/>
          </w:tcPr>
          <w:p>
            <w:pPr>
              <w:ind w:left="220"/>
              <w:spacing w:after="0"/>
              <w:rPr>
                <w:sz w:val="20"/>
                <w:szCs w:val="20"/>
                <w:color w:val="auto"/>
              </w:rPr>
            </w:pPr>
            <w:r>
              <w:rPr>
                <w:rFonts w:ascii="Arial" w:cs="Arial" w:eastAsia="Arial" w:hAnsi="Arial"/>
                <w:sz w:val="18"/>
                <w:szCs w:val="18"/>
                <w:color w:val="auto"/>
              </w:rPr>
              <w:t>9.2.1. Points of Contact – Mibanco</w:t>
            </w:r>
          </w:p>
        </w:tc>
        <w:tc>
          <w:tcPr>
            <w:tcW w:w="328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7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Economic Perspectives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2"/>
          </w:tcPr>
          <w:p>
            <w:pPr>
              <w:ind w:left="60"/>
              <w:spacing w:after="0"/>
              <w:rPr>
                <w:sz w:val="20"/>
                <w:szCs w:val="20"/>
                <w:color w:val="auto"/>
              </w:rPr>
            </w:pPr>
            <w:r>
              <w:rPr>
                <w:rFonts w:ascii="Arial" w:cs="Arial" w:eastAsia="Arial" w:hAnsi="Arial"/>
                <w:sz w:val="18"/>
                <w:szCs w:val="18"/>
                <w:color w:val="auto"/>
              </w:rPr>
              <w:t>10.1. Peru Economic Forecasts</w:t>
            </w:r>
          </w:p>
        </w:tc>
        <w:tc>
          <w:tcPr>
            <w:tcW w:w="328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10.2. Main Economic Variables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11.</w:t>
            </w:r>
          </w:p>
        </w:tc>
        <w:tc>
          <w:tcPr>
            <w:tcW w:w="7840" w:type="dxa"/>
            <w:vAlign w:val="bottom"/>
            <w:gridSpan w:val="2"/>
          </w:tcPr>
          <w:p>
            <w:pPr>
              <w:ind w:left="220"/>
              <w:spacing w:after="0"/>
              <w:rPr>
                <w:sz w:val="20"/>
                <w:szCs w:val="20"/>
                <w:color w:val="auto"/>
              </w:rPr>
            </w:pPr>
            <w:r>
              <w:rPr>
                <w:rFonts w:ascii="Arial" w:cs="Arial" w:eastAsia="Arial" w:hAnsi="Arial"/>
                <w:sz w:val="18"/>
                <w:szCs w:val="18"/>
                <w:color w:val="auto"/>
              </w:rPr>
              <w:t>Appendix</w:t>
            </w:r>
          </w:p>
        </w:tc>
        <w:tc>
          <w:tcPr>
            <w:tcW w:w="328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11.1. Credicorp</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2"/>
          </w:tcPr>
          <w:p>
            <w:pPr>
              <w:ind w:left="60"/>
              <w:spacing w:after="0"/>
              <w:rPr>
                <w:sz w:val="20"/>
                <w:szCs w:val="20"/>
                <w:color w:val="auto"/>
              </w:rPr>
            </w:pPr>
            <w:r>
              <w:rPr>
                <w:rFonts w:ascii="Arial" w:cs="Arial" w:eastAsia="Arial" w:hAnsi="Arial"/>
                <w:sz w:val="18"/>
                <w:szCs w:val="18"/>
                <w:color w:val="auto"/>
              </w:rPr>
              <w:t>11.2. BCP Consolidated</w:t>
            </w:r>
          </w:p>
        </w:tc>
        <w:tc>
          <w:tcPr>
            <w:tcW w:w="328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11.3. Mibanco</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2"/>
          </w:tcPr>
          <w:p>
            <w:pPr>
              <w:ind w:left="60"/>
              <w:spacing w:after="0"/>
              <w:rPr>
                <w:sz w:val="20"/>
                <w:szCs w:val="20"/>
                <w:color w:val="auto"/>
              </w:rPr>
            </w:pPr>
            <w:r>
              <w:rPr>
                <w:rFonts w:ascii="Arial" w:cs="Arial" w:eastAsia="Arial" w:hAnsi="Arial"/>
                <w:sz w:val="18"/>
                <w:szCs w:val="18"/>
                <w:color w:val="auto"/>
              </w:rPr>
              <w:t>11.4. BCP Bolivia</w:t>
            </w:r>
          </w:p>
        </w:tc>
        <w:tc>
          <w:tcPr>
            <w:tcW w:w="328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11.5. Credicorp Capital</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2"/>
          </w:tcPr>
          <w:p>
            <w:pPr>
              <w:ind w:left="60"/>
              <w:spacing w:after="0"/>
              <w:rPr>
                <w:sz w:val="20"/>
                <w:szCs w:val="20"/>
                <w:color w:val="auto"/>
              </w:rPr>
            </w:pPr>
            <w:r>
              <w:rPr>
                <w:rFonts w:ascii="Arial" w:cs="Arial" w:eastAsia="Arial" w:hAnsi="Arial"/>
                <w:sz w:val="18"/>
                <w:szCs w:val="18"/>
                <w:color w:val="auto"/>
              </w:rPr>
              <w:t>11.6. Atlantic Security Bank</w:t>
            </w:r>
          </w:p>
        </w:tc>
        <w:tc>
          <w:tcPr>
            <w:tcW w:w="328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11.7. Grupo Pacífico</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2"/>
          </w:tcPr>
          <w:p>
            <w:pPr>
              <w:ind w:left="60"/>
              <w:spacing w:after="0"/>
              <w:rPr>
                <w:sz w:val="20"/>
                <w:szCs w:val="20"/>
                <w:color w:val="auto"/>
              </w:rPr>
            </w:pPr>
            <w:r>
              <w:rPr>
                <w:rFonts w:ascii="Arial" w:cs="Arial" w:eastAsia="Arial" w:hAnsi="Arial"/>
                <w:sz w:val="18"/>
                <w:szCs w:val="18"/>
                <w:color w:val="auto"/>
              </w:rPr>
              <w:t>11.8. Prima AFP</w:t>
            </w:r>
          </w:p>
        </w:tc>
        <w:tc>
          <w:tcPr>
            <w:tcW w:w="328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11.9. Table of calculations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049"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Credicorp (NYSE: BAP): Third Quarter Results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gridSpan w:val="2"/>
          </w:tcPr>
          <w:p>
            <w:pPr>
              <w:spacing w:after="0"/>
              <w:rPr>
                <w:sz w:val="20"/>
                <w:szCs w:val="20"/>
                <w:color w:val="auto"/>
              </w:rPr>
            </w:pPr>
            <w:r>
              <w:rPr>
                <w:rFonts w:ascii="Arial" w:cs="Arial" w:eastAsia="Arial" w:hAnsi="Arial"/>
                <w:sz w:val="14"/>
                <w:szCs w:val="14"/>
                <w:b w:val="1"/>
                <w:bCs w:val="1"/>
                <w:color w:val="auto"/>
              </w:rPr>
              <w:t>Credicorp Ltd.</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Quarter</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3"/>
          </w:tcPr>
          <w:p>
            <w:pPr>
              <w:ind w:left="580"/>
              <w:spacing w:after="0"/>
              <w:rPr>
                <w:sz w:val="20"/>
                <w:szCs w:val="20"/>
                <w:color w:val="auto"/>
              </w:rPr>
            </w:pPr>
            <w:r>
              <w:rPr>
                <w:rFonts w:ascii="Arial" w:cs="Arial" w:eastAsia="Arial" w:hAnsi="Arial"/>
                <w:sz w:val="14"/>
                <w:szCs w:val="14"/>
                <w:b w:val="1"/>
                <w:bCs w:val="1"/>
                <w:color w:val="auto"/>
                <w:w w:val="97"/>
              </w:rPr>
              <w:t>% change</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3"/>
          </w:tcPr>
          <w:p>
            <w:pPr>
              <w:ind w:left="800"/>
              <w:spacing w:after="0"/>
              <w:rPr>
                <w:sz w:val="20"/>
                <w:szCs w:val="20"/>
                <w:color w:val="auto"/>
              </w:rPr>
            </w:pPr>
            <w:r>
              <w:rPr>
                <w:rFonts w:ascii="Arial" w:cs="Arial" w:eastAsia="Arial" w:hAnsi="Arial"/>
                <w:sz w:val="14"/>
                <w:szCs w:val="14"/>
                <w:b w:val="1"/>
                <w:bCs w:val="1"/>
                <w:color w:val="auto"/>
              </w:rPr>
              <w:t>YTD</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9"/>
        </w:trPr>
        <w:tc>
          <w:tcPr>
            <w:tcW w:w="2900" w:type="dxa"/>
            <w:vAlign w:val="bottom"/>
            <w:vMerge w:val="restart"/>
          </w:tcPr>
          <w:p>
            <w:pPr>
              <w:spacing w:after="0"/>
              <w:rPr>
                <w:sz w:val="20"/>
                <w:szCs w:val="20"/>
                <w:color w:val="auto"/>
              </w:rPr>
            </w:pPr>
            <w:r>
              <w:rPr>
                <w:rFonts w:ascii="Arial" w:cs="Arial" w:eastAsia="Arial" w:hAnsi="Arial"/>
                <w:sz w:val="14"/>
                <w:szCs w:val="14"/>
                <w:b w:val="1"/>
                <w:bCs w:val="1"/>
                <w:color w:val="auto"/>
              </w:rPr>
              <w:t>S/ 000</w:t>
            </w:r>
          </w:p>
        </w:tc>
        <w:tc>
          <w:tcPr>
            <w:tcW w:w="220" w:type="dxa"/>
            <w:vAlign w:val="bottom"/>
            <w:vMerge w:val="restart"/>
          </w:tcPr>
          <w:p>
            <w:pPr>
              <w:spacing w:after="0"/>
              <w:rPr>
                <w:sz w:val="12"/>
                <w:szCs w:val="12"/>
                <w:color w:val="auto"/>
              </w:rPr>
            </w:pPr>
          </w:p>
        </w:tc>
        <w:tc>
          <w:tcPr>
            <w:tcW w:w="8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3Q18</w:t>
            </w:r>
          </w:p>
        </w:tc>
        <w:tc>
          <w:tcPr>
            <w:tcW w:w="220" w:type="dxa"/>
            <w:vAlign w:val="bottom"/>
            <w:vMerge w:val="restart"/>
          </w:tcPr>
          <w:p>
            <w:pPr>
              <w:spacing w:after="0"/>
              <w:rPr>
                <w:sz w:val="12"/>
                <w:szCs w:val="12"/>
                <w:color w:val="auto"/>
              </w:rPr>
            </w:pPr>
          </w:p>
        </w:tc>
        <w:tc>
          <w:tcPr>
            <w:tcW w:w="8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2Q19</w:t>
            </w:r>
          </w:p>
        </w:tc>
        <w:tc>
          <w:tcPr>
            <w:tcW w:w="220" w:type="dxa"/>
            <w:vAlign w:val="bottom"/>
            <w:vMerge w:val="restart"/>
          </w:tcPr>
          <w:p>
            <w:pPr>
              <w:spacing w:after="0"/>
              <w:rPr>
                <w:sz w:val="12"/>
                <w:szCs w:val="12"/>
                <w:color w:val="auto"/>
              </w:rPr>
            </w:pPr>
          </w:p>
        </w:tc>
        <w:tc>
          <w:tcPr>
            <w:tcW w:w="8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3Q19</w:t>
            </w:r>
          </w:p>
        </w:tc>
        <w:tc>
          <w:tcPr>
            <w:tcW w:w="240" w:type="dxa"/>
            <w:vAlign w:val="bottom"/>
            <w:vMerge w:val="restart"/>
          </w:tcPr>
          <w:p>
            <w:pPr>
              <w:spacing w:after="0"/>
              <w:rPr>
                <w:sz w:val="12"/>
                <w:szCs w:val="12"/>
                <w:color w:val="auto"/>
              </w:rPr>
            </w:pPr>
          </w:p>
        </w:tc>
        <w:tc>
          <w:tcPr>
            <w:tcW w:w="7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QoQ</w:t>
            </w:r>
          </w:p>
        </w:tc>
        <w:tc>
          <w:tcPr>
            <w:tcW w:w="260" w:type="dxa"/>
            <w:vAlign w:val="bottom"/>
            <w:vMerge w:val="restart"/>
          </w:tcPr>
          <w:p>
            <w:pPr>
              <w:spacing w:after="0"/>
              <w:rPr>
                <w:sz w:val="12"/>
                <w:szCs w:val="12"/>
                <w:color w:val="auto"/>
              </w:rPr>
            </w:pPr>
          </w:p>
        </w:tc>
        <w:tc>
          <w:tcPr>
            <w:tcW w:w="220" w:type="dxa"/>
            <w:vAlign w:val="bottom"/>
            <w:vMerge w:val="restart"/>
          </w:tcPr>
          <w:p>
            <w:pPr>
              <w:spacing w:after="0"/>
              <w:rPr>
                <w:sz w:val="12"/>
                <w:szCs w:val="12"/>
                <w:color w:val="auto"/>
              </w:rPr>
            </w:pPr>
          </w:p>
        </w:tc>
        <w:tc>
          <w:tcPr>
            <w:tcW w:w="5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YoY</w:t>
            </w:r>
          </w:p>
        </w:tc>
        <w:tc>
          <w:tcPr>
            <w:tcW w:w="240" w:type="dxa"/>
            <w:vAlign w:val="bottom"/>
            <w:vMerge w:val="restart"/>
          </w:tcPr>
          <w:p>
            <w:pPr>
              <w:spacing w:after="0"/>
              <w:rPr>
                <w:sz w:val="12"/>
                <w:szCs w:val="12"/>
                <w:color w:val="auto"/>
              </w:rPr>
            </w:pPr>
          </w:p>
        </w:tc>
        <w:tc>
          <w:tcPr>
            <w:tcW w:w="8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Sep 18</w:t>
            </w:r>
          </w:p>
        </w:tc>
        <w:tc>
          <w:tcPr>
            <w:tcW w:w="24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7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Sep 19</w:t>
            </w:r>
          </w:p>
        </w:tc>
        <w:tc>
          <w:tcPr>
            <w:tcW w:w="220" w:type="dxa"/>
            <w:vAlign w:val="bottom"/>
            <w:vMerge w:val="restart"/>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Sep 19 / Sep</w:t>
            </w:r>
          </w:p>
        </w:tc>
        <w:tc>
          <w:tcPr>
            <w:tcW w:w="0" w:type="dxa"/>
            <w:vAlign w:val="bottom"/>
          </w:tcPr>
          <w:p>
            <w:pPr>
              <w:spacing w:after="0"/>
              <w:rPr>
                <w:sz w:val="1"/>
                <w:szCs w:val="1"/>
                <w:color w:val="auto"/>
              </w:rPr>
            </w:pPr>
          </w:p>
        </w:tc>
      </w:tr>
      <w:tr>
        <w:trPr>
          <w:trHeight w:val="171"/>
        </w:trPr>
        <w:tc>
          <w:tcPr>
            <w:tcW w:w="29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vMerge w:val="continue"/>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18</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interest income</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2,139,133</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2,256,757</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2,277,384</w:t>
            </w: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0.9%</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6.5%</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6,244,852</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6,723,059</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30"/>
        </w:trPr>
        <w:tc>
          <w:tcPr>
            <w:tcW w:w="3120" w:type="dxa"/>
            <w:vAlign w:val="bottom"/>
            <w:gridSpan w:val="2"/>
          </w:tcPr>
          <w:p>
            <w:pPr>
              <w:spacing w:after="0" w:line="130" w:lineRule="exact"/>
              <w:rPr>
                <w:sz w:val="20"/>
                <w:szCs w:val="20"/>
                <w:color w:val="auto"/>
              </w:rPr>
            </w:pPr>
            <w:r>
              <w:rPr>
                <w:rFonts w:ascii="Arial" w:cs="Arial" w:eastAsia="Arial" w:hAnsi="Arial"/>
                <w:sz w:val="14"/>
                <w:szCs w:val="14"/>
                <w:color w:val="auto"/>
              </w:rPr>
              <w:t>Provision for credit losses on loan portfolio, net</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20" w:type="dxa"/>
            <w:vAlign w:val="bottom"/>
            <w:gridSpan w:val="2"/>
          </w:tcPr>
          <w:p>
            <w:pPr>
              <w:spacing w:after="0"/>
              <w:rPr>
                <w:sz w:val="20"/>
                <w:szCs w:val="20"/>
                <w:color w:val="auto"/>
              </w:rPr>
            </w:pPr>
            <w:r>
              <w:rPr>
                <w:rFonts w:ascii="Arial" w:cs="Arial" w:eastAsia="Arial" w:hAnsi="Arial"/>
                <w:sz w:val="14"/>
                <w:szCs w:val="14"/>
                <w:color w:val="auto"/>
              </w:rPr>
              <w:t>of recoveries</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(439,558)</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(448,294)</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(502,772)</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12.2%</w:t>
            </w:r>
          </w:p>
        </w:tc>
        <w:tc>
          <w:tcPr>
            <w:tcW w:w="2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14.4%</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(1,123,754)</w:t>
            </w:r>
          </w:p>
        </w:tc>
        <w:tc>
          <w:tcPr>
            <w:tcW w:w="8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(1,334,277)</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49"/>
        </w:trPr>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Risk-adjusted net interest income</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1,699,575</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1,808,463</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1,774,612</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-1.9%</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4.4%</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5,121,098</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5,388,782</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5.2%</w:t>
            </w:r>
          </w:p>
        </w:tc>
        <w:tc>
          <w:tcPr>
            <w:tcW w:w="0" w:type="dxa"/>
            <w:vAlign w:val="bottom"/>
          </w:tcPr>
          <w:p>
            <w:pPr>
              <w:spacing w:after="0"/>
              <w:rPr>
                <w:sz w:val="1"/>
                <w:szCs w:val="1"/>
                <w:color w:val="auto"/>
              </w:rPr>
            </w:pPr>
          </w:p>
        </w:tc>
      </w:tr>
      <w:tr>
        <w:trPr>
          <w:trHeight w:val="189"/>
        </w:trPr>
        <w:tc>
          <w:tcPr>
            <w:tcW w:w="3120" w:type="dxa"/>
            <w:vAlign w:val="bottom"/>
            <w:gridSpan w:val="2"/>
          </w:tcPr>
          <w:p>
            <w:pPr>
              <w:spacing w:after="0" w:line="189" w:lineRule="exact"/>
              <w:rPr>
                <w:sz w:val="20"/>
                <w:szCs w:val="20"/>
                <w:color w:val="auto"/>
              </w:rPr>
            </w:pPr>
            <w:r>
              <w:rPr>
                <w:rFonts w:ascii="Arial" w:cs="Arial" w:eastAsia="Arial" w:hAnsi="Arial"/>
                <w:sz w:val="13"/>
                <w:szCs w:val="13"/>
                <w:color w:val="auto"/>
              </w:rPr>
              <w:t xml:space="preserve">Non-financial income </w:t>
            </w:r>
            <w:r>
              <w:rPr>
                <w:rFonts w:ascii="Arial" w:cs="Arial" w:eastAsia="Arial" w:hAnsi="Arial"/>
                <w:sz w:val="21"/>
                <w:szCs w:val="21"/>
                <w:color w:val="auto"/>
                <w:vertAlign w:val="superscript"/>
              </w:rPr>
              <w:t>(1)</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1,098,878</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1,191,449</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1,270,586</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6.6%</w:t>
            </w:r>
          </w:p>
        </w:tc>
        <w:tc>
          <w:tcPr>
            <w:tcW w:w="22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15.6%</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3,257,574</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3,632,542</w:t>
            </w:r>
          </w:p>
        </w:tc>
        <w:tc>
          <w:tcPr>
            <w:tcW w:w="22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49"/>
        </w:trPr>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Insurance underwriting result</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121,251</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118,682</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125,775</w:t>
            </w: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6.0%</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3.7%</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350,264</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353,811</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9"/>
        </w:trPr>
        <w:tc>
          <w:tcPr>
            <w:tcW w:w="3120" w:type="dxa"/>
            <w:vAlign w:val="bottom"/>
            <w:gridSpan w:val="2"/>
          </w:tcPr>
          <w:p>
            <w:pPr>
              <w:spacing w:after="0" w:line="189" w:lineRule="exact"/>
              <w:rPr>
                <w:sz w:val="20"/>
                <w:szCs w:val="20"/>
                <w:color w:val="auto"/>
              </w:rPr>
            </w:pPr>
            <w:r>
              <w:rPr>
                <w:rFonts w:ascii="Arial" w:cs="Arial" w:eastAsia="Arial" w:hAnsi="Arial"/>
                <w:sz w:val="13"/>
                <w:szCs w:val="13"/>
                <w:color w:val="auto"/>
              </w:rPr>
              <w:t xml:space="preserve">Total expenses </w:t>
            </w:r>
            <w:r>
              <w:rPr>
                <w:rFonts w:ascii="Arial" w:cs="Arial" w:eastAsia="Arial" w:hAnsi="Arial"/>
                <w:sz w:val="21"/>
                <w:szCs w:val="21"/>
                <w:color w:val="auto"/>
                <w:vertAlign w:val="superscript"/>
              </w:rPr>
              <w:t>(1)</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(1,525,455)</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(1,582,853)</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(1,651,622)</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4.3%</w:t>
            </w:r>
          </w:p>
        </w:tc>
        <w:tc>
          <w:tcPr>
            <w:tcW w:w="22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8.3%</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(4,498,228)</w:t>
            </w:r>
          </w:p>
        </w:tc>
        <w:tc>
          <w:tcPr>
            <w:tcW w:w="8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(4,772,807)</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9"/>
        </w:trPr>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Profit before income tax</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1,394,249</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1,535,741</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1,519,351</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-1.1%</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9.0%</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4,230,708</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4,602,328</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8.8%</w:t>
            </w:r>
          </w:p>
        </w:tc>
        <w:tc>
          <w:tcPr>
            <w:tcW w:w="0" w:type="dxa"/>
            <w:vAlign w:val="bottom"/>
          </w:tcPr>
          <w:p>
            <w:pPr>
              <w:spacing w:after="0"/>
              <w:rPr>
                <w:sz w:val="1"/>
                <w:szCs w:val="1"/>
                <w:color w:val="auto"/>
              </w:rPr>
            </w:pPr>
          </w:p>
        </w:tc>
      </w:tr>
      <w:tr>
        <w:trPr>
          <w:trHeight w:val="149"/>
        </w:trPr>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Income taxes</w:t>
            </w: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(363,154)</w:t>
            </w: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(415,210)</w:t>
            </w: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(403,771)</w:t>
            </w: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w:t>
            </w:r>
          </w:p>
        </w:tc>
        <w:tc>
          <w:tcPr>
            <w:tcW w:w="2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11.2%</w:t>
            </w: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(1,136,557)</w:t>
            </w:r>
          </w:p>
        </w:tc>
        <w:tc>
          <w:tcPr>
            <w:tcW w:w="8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(1,242,954)</w:t>
            </w: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49"/>
        </w:trPr>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profit</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1,031,095</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1,120,531</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1,115,580</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-0.4%</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8.2%</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3,094,151</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3,359,374</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8.6%</w:t>
            </w:r>
          </w:p>
        </w:tc>
        <w:tc>
          <w:tcPr>
            <w:tcW w:w="0" w:type="dxa"/>
            <w:vAlign w:val="bottom"/>
          </w:tcPr>
          <w:p>
            <w:pPr>
              <w:spacing w:after="0"/>
              <w:rPr>
                <w:sz w:val="1"/>
                <w:szCs w:val="1"/>
                <w:color w:val="auto"/>
              </w:rPr>
            </w:pPr>
          </w:p>
        </w:tc>
      </w:tr>
      <w:tr>
        <w:trPr>
          <w:trHeight w:val="149"/>
        </w:trPr>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Non-controlling interest</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19,809</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21,958</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22,545</w:t>
            </w: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w:t>
            </w:r>
          </w:p>
        </w:tc>
        <w:tc>
          <w:tcPr>
            <w:tcW w:w="2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13.8%</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67,219</w:t>
            </w:r>
          </w:p>
        </w:tc>
        <w:tc>
          <w:tcPr>
            <w:tcW w:w="8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66,900</w:t>
            </w: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profit attributable to Credicorp</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1,011,286</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1,098,573</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1,093,035</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-0.5%</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8.1%</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3,026,932</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3,292,474</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8.8%</w:t>
            </w:r>
          </w:p>
        </w:tc>
        <w:tc>
          <w:tcPr>
            <w:tcW w:w="0" w:type="dxa"/>
            <w:vAlign w:val="bottom"/>
          </w:tcPr>
          <w:p>
            <w:pPr>
              <w:spacing w:after="0"/>
              <w:rPr>
                <w:sz w:val="1"/>
                <w:szCs w:val="1"/>
                <w:color w:val="auto"/>
              </w:rPr>
            </w:pPr>
          </w:p>
        </w:tc>
      </w:tr>
      <w:tr>
        <w:trPr>
          <w:trHeight w:val="149"/>
        </w:trPr>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Net income / share (S/)</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12.68</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13.77</w:t>
            </w:r>
          </w:p>
        </w:tc>
        <w:tc>
          <w:tcPr>
            <w:tcW w:w="22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13.70</w:t>
            </w: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-0.5%</w:t>
            </w:r>
          </w:p>
        </w:tc>
        <w:tc>
          <w:tcPr>
            <w:tcW w:w="2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8.1%</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37.95</w:t>
            </w:r>
          </w:p>
        </w:tc>
        <w:tc>
          <w:tcPr>
            <w:tcW w:w="8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41.28</w:t>
            </w: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20"/>
        </w:trPr>
        <w:tc>
          <w:tcPr>
            <w:tcW w:w="31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Loans</w:t>
            </w: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20" w:type="dxa"/>
            <w:vAlign w:val="bottom"/>
            <w:gridSpan w:val="2"/>
            <w:vMerge w:val="continue"/>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105,028,343</w:t>
            </w:r>
          </w:p>
        </w:tc>
        <w:tc>
          <w:tcPr>
            <w:tcW w:w="220" w:type="dxa"/>
            <w:vAlign w:val="bottom"/>
            <w:vMerge w:val="continue"/>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109,381,123</w:t>
            </w:r>
          </w:p>
        </w:tc>
        <w:tc>
          <w:tcPr>
            <w:tcW w:w="220" w:type="dxa"/>
            <w:vAlign w:val="bottom"/>
            <w:vMerge w:val="continue"/>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112,209,990</w:t>
            </w:r>
          </w:p>
        </w:tc>
        <w:tc>
          <w:tcPr>
            <w:tcW w:w="240" w:type="dxa"/>
            <w:vAlign w:val="bottom"/>
            <w:vMerge w:val="continue"/>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2.6%</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6.8%</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105,028,343</w:t>
            </w:r>
          </w:p>
        </w:tc>
        <w:tc>
          <w:tcPr>
            <w:tcW w:w="2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112,209,990</w:t>
            </w:r>
          </w:p>
        </w:tc>
        <w:tc>
          <w:tcPr>
            <w:tcW w:w="220" w:type="dxa"/>
            <w:vAlign w:val="bottom"/>
            <w:vMerge w:val="continue"/>
            <w:shd w:val="clear" w:color="auto" w:fill="CCEEFF"/>
          </w:tcPr>
          <w:p>
            <w:pPr>
              <w:spacing w:after="0"/>
              <w:rPr>
                <w:sz w:val="12"/>
                <w:szCs w:val="12"/>
                <w:color w:val="auto"/>
              </w:rPr>
            </w:pPr>
          </w:p>
        </w:tc>
        <w:tc>
          <w:tcPr>
            <w:tcW w:w="92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9"/>
        </w:trPr>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Deposits and obligations</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97,375,411</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103,157,044</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107,391,720</w:t>
            </w: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4.1%</w:t>
            </w:r>
          </w:p>
        </w:tc>
        <w:tc>
          <w:tcPr>
            <w:tcW w:w="2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10.3%</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97,375,411</w:t>
            </w: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w w:val="95"/>
              </w:rPr>
              <w:t>107,391,720</w:t>
            </w:r>
          </w:p>
        </w:tc>
        <w:tc>
          <w:tcPr>
            <w:tcW w:w="220" w:type="dxa"/>
            <w:vAlign w:val="bottom"/>
          </w:tcPr>
          <w:p>
            <w:pPr>
              <w:spacing w:after="0"/>
              <w:rPr>
                <w:sz w:val="12"/>
                <w:szCs w:val="12"/>
                <w:color w:val="auto"/>
              </w:rPr>
            </w:pP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49"/>
        </w:trPr>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equity</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23,006,133</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25,221,894</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26,000,638</w:t>
            </w: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13.0%</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23,006,133</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26,000,638</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120" w:type="dxa"/>
            <w:vAlign w:val="bottom"/>
          </w:tcPr>
          <w:p>
            <w:pPr>
              <w:spacing w:after="0" w:line="142" w:lineRule="exact"/>
              <w:rPr>
                <w:sz w:val="20"/>
                <w:szCs w:val="20"/>
                <w:color w:val="auto"/>
              </w:rPr>
            </w:pPr>
            <w:r>
              <w:rPr>
                <w:rFonts w:ascii="Arial" w:cs="Arial" w:eastAsia="Arial" w:hAnsi="Arial"/>
                <w:sz w:val="14"/>
                <w:szCs w:val="14"/>
                <w:b w:val="1"/>
                <w:bCs w:val="1"/>
                <w:color w:val="auto"/>
              </w:rPr>
              <w:t>Profitability</w:t>
            </w: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12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Net interest margin </w:t>
            </w:r>
            <w:r>
              <w:rPr>
                <w:rFonts w:ascii="Arial" w:cs="Arial" w:eastAsia="Arial" w:hAnsi="Arial"/>
                <w:sz w:val="21"/>
                <w:szCs w:val="21"/>
                <w:color w:val="auto"/>
                <w:vertAlign w:val="superscript"/>
              </w:rPr>
              <w:t>(1)(2)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5.53%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5.48%</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5.40%</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-8 bps</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-13 bps</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5.31%</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5.37%</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 bps</w:t>
            </w:r>
          </w:p>
        </w:tc>
        <w:tc>
          <w:tcPr>
            <w:tcW w:w="0" w:type="dxa"/>
            <w:vAlign w:val="bottom"/>
          </w:tcPr>
          <w:p>
            <w:pPr>
              <w:spacing w:after="0"/>
              <w:rPr>
                <w:sz w:val="1"/>
                <w:szCs w:val="1"/>
                <w:color w:val="auto"/>
              </w:rPr>
            </w:pPr>
          </w:p>
        </w:tc>
      </w:tr>
      <w:tr>
        <w:trPr>
          <w:trHeight w:val="189"/>
        </w:trPr>
        <w:tc>
          <w:tcPr>
            <w:tcW w:w="3120" w:type="dxa"/>
            <w:vAlign w:val="bottom"/>
          </w:tcPr>
          <w:p>
            <w:pPr>
              <w:spacing w:after="0" w:line="189" w:lineRule="exact"/>
              <w:rPr>
                <w:sz w:val="20"/>
                <w:szCs w:val="20"/>
                <w:color w:val="auto"/>
              </w:rPr>
            </w:pPr>
            <w:r>
              <w:rPr>
                <w:rFonts w:ascii="Arial" w:cs="Arial" w:eastAsia="Arial" w:hAnsi="Arial"/>
                <w:sz w:val="13"/>
                <w:szCs w:val="13"/>
                <w:color w:val="auto"/>
              </w:rPr>
              <w:t xml:space="preserve">Risk-adjusted Net interest margin </w:t>
            </w:r>
            <w:r>
              <w:rPr>
                <w:rFonts w:ascii="Arial" w:cs="Arial" w:eastAsia="Arial" w:hAnsi="Arial"/>
                <w:sz w:val="21"/>
                <w:szCs w:val="21"/>
                <w:color w:val="auto"/>
                <w:vertAlign w:val="superscript"/>
              </w:rPr>
              <w:t>(1)(2)</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4.39%</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4.39%</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4.21%</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-18 bps</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-18 bps</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4.35%</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4.30%</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-5 bps</w:t>
            </w:r>
          </w:p>
        </w:tc>
        <w:tc>
          <w:tcPr>
            <w:tcW w:w="0" w:type="dxa"/>
            <w:vAlign w:val="bottom"/>
          </w:tcPr>
          <w:p>
            <w:pPr>
              <w:spacing w:after="0"/>
              <w:rPr>
                <w:sz w:val="1"/>
                <w:szCs w:val="1"/>
                <w:color w:val="auto"/>
              </w:rPr>
            </w:pPr>
          </w:p>
        </w:tc>
      </w:tr>
      <w:tr>
        <w:trPr>
          <w:trHeight w:val="189"/>
        </w:trPr>
        <w:tc>
          <w:tcPr>
            <w:tcW w:w="312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Funding cost </w:t>
            </w:r>
            <w:r>
              <w:rPr>
                <w:rFonts w:ascii="Arial" w:cs="Arial" w:eastAsia="Arial" w:hAnsi="Arial"/>
                <w:sz w:val="21"/>
                <w:szCs w:val="21"/>
                <w:color w:val="auto"/>
                <w:vertAlign w:val="superscript"/>
              </w:rPr>
              <w:t>(1)(2)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2.34%</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2.45%</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2.46%</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 bps</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 bps</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2.29%</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2.40%</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 bps</w:t>
            </w:r>
          </w:p>
        </w:tc>
        <w:tc>
          <w:tcPr>
            <w:tcW w:w="0" w:type="dxa"/>
            <w:vAlign w:val="bottom"/>
          </w:tcPr>
          <w:p>
            <w:pPr>
              <w:spacing w:after="0"/>
              <w:rPr>
                <w:sz w:val="1"/>
                <w:szCs w:val="1"/>
                <w:color w:val="auto"/>
              </w:rPr>
            </w:pPr>
          </w:p>
        </w:tc>
      </w:tr>
      <w:tr>
        <w:trPr>
          <w:trHeight w:val="189"/>
        </w:trPr>
        <w:tc>
          <w:tcPr>
            <w:tcW w:w="3120" w:type="dxa"/>
            <w:vAlign w:val="bottom"/>
          </w:tcPr>
          <w:p>
            <w:pPr>
              <w:spacing w:after="0" w:line="189" w:lineRule="exact"/>
              <w:rPr>
                <w:sz w:val="20"/>
                <w:szCs w:val="20"/>
                <w:color w:val="auto"/>
              </w:rPr>
            </w:pPr>
            <w:r>
              <w:rPr>
                <w:rFonts w:ascii="Arial" w:cs="Arial" w:eastAsia="Arial" w:hAnsi="Arial"/>
                <w:sz w:val="13"/>
                <w:szCs w:val="13"/>
                <w:color w:val="auto"/>
              </w:rPr>
              <w:t xml:space="preserve">ROAE </w:t>
            </w:r>
            <w:r>
              <w:rPr>
                <w:rFonts w:ascii="Arial" w:cs="Arial" w:eastAsia="Arial" w:hAnsi="Arial"/>
                <w:sz w:val="21"/>
                <w:szCs w:val="21"/>
                <w:color w:val="auto"/>
                <w:vertAlign w:val="superscript"/>
              </w:rPr>
              <w:t>(2)</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18.0%</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18.0%</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17.1%</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-90 bps</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-90 bps</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18.0%</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17.6%</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-40 bps</w:t>
            </w:r>
          </w:p>
        </w:tc>
        <w:tc>
          <w:tcPr>
            <w:tcW w:w="0" w:type="dxa"/>
            <w:vAlign w:val="bottom"/>
          </w:tcPr>
          <w:p>
            <w:pPr>
              <w:spacing w:after="0"/>
              <w:rPr>
                <w:sz w:val="1"/>
                <w:szCs w:val="1"/>
                <w:color w:val="auto"/>
              </w:rPr>
            </w:pPr>
          </w:p>
        </w:tc>
      </w:tr>
      <w:tr>
        <w:trPr>
          <w:trHeight w:val="189"/>
        </w:trPr>
        <w:tc>
          <w:tcPr>
            <w:tcW w:w="312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ROAA </w:t>
            </w:r>
            <w:r>
              <w:rPr>
                <w:rFonts w:ascii="Arial" w:cs="Arial" w:eastAsia="Arial" w:hAnsi="Arial"/>
                <w:sz w:val="21"/>
                <w:szCs w:val="21"/>
                <w:color w:val="auto"/>
                <w:vertAlign w:val="superscript"/>
              </w:rPr>
              <w:t>(2)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0 bps</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 bps</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 bps</w:t>
            </w:r>
          </w:p>
        </w:tc>
        <w:tc>
          <w:tcPr>
            <w:tcW w:w="0" w:type="dxa"/>
            <w:vAlign w:val="bottom"/>
          </w:tcPr>
          <w:p>
            <w:pPr>
              <w:spacing w:after="0"/>
              <w:rPr>
                <w:sz w:val="1"/>
                <w:szCs w:val="1"/>
                <w:color w:val="auto"/>
              </w:rPr>
            </w:pPr>
          </w:p>
        </w:tc>
      </w:tr>
      <w:tr>
        <w:trPr>
          <w:trHeight w:val="142"/>
        </w:trPr>
        <w:tc>
          <w:tcPr>
            <w:tcW w:w="3120" w:type="dxa"/>
            <w:vAlign w:val="bottom"/>
          </w:tcPr>
          <w:p>
            <w:pPr>
              <w:spacing w:after="0" w:line="142" w:lineRule="exact"/>
              <w:rPr>
                <w:sz w:val="20"/>
                <w:szCs w:val="20"/>
                <w:color w:val="auto"/>
              </w:rPr>
            </w:pPr>
            <w:r>
              <w:rPr>
                <w:rFonts w:ascii="Arial" w:cs="Arial" w:eastAsia="Arial" w:hAnsi="Arial"/>
                <w:sz w:val="14"/>
                <w:szCs w:val="14"/>
                <w:b w:val="1"/>
                <w:bCs w:val="1"/>
                <w:color w:val="auto"/>
              </w:rPr>
              <w:t>Loan portfolio quality</w:t>
            </w: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12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IOL ratio </w:t>
            </w:r>
            <w:r>
              <w:rPr>
                <w:rFonts w:ascii="Arial" w:cs="Arial" w:eastAsia="Arial" w:hAnsi="Arial"/>
                <w:sz w:val="21"/>
                <w:szCs w:val="21"/>
                <w:color w:val="auto"/>
                <w:vertAlign w:val="superscript"/>
              </w:rPr>
              <w:t>(3)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3.04%</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3.00%</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2.98%</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 bps</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 bps</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3.04%</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2.98%</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 bps</w:t>
            </w:r>
          </w:p>
        </w:tc>
        <w:tc>
          <w:tcPr>
            <w:tcW w:w="0" w:type="dxa"/>
            <w:vAlign w:val="bottom"/>
          </w:tcPr>
          <w:p>
            <w:pPr>
              <w:spacing w:after="0"/>
              <w:rPr>
                <w:sz w:val="1"/>
                <w:szCs w:val="1"/>
                <w:color w:val="auto"/>
              </w:rPr>
            </w:pPr>
          </w:p>
        </w:tc>
      </w:tr>
      <w:tr>
        <w:trPr>
          <w:trHeight w:val="149"/>
        </w:trPr>
        <w:tc>
          <w:tcPr>
            <w:tcW w:w="3120" w:type="dxa"/>
            <w:vAlign w:val="bottom"/>
          </w:tcPr>
          <w:p>
            <w:pPr>
              <w:spacing w:after="0" w:line="149" w:lineRule="exact"/>
              <w:rPr>
                <w:sz w:val="20"/>
                <w:szCs w:val="20"/>
                <w:color w:val="auto"/>
              </w:rPr>
            </w:pPr>
            <w:r>
              <w:rPr>
                <w:rFonts w:ascii="Arial" w:cs="Arial" w:eastAsia="Arial" w:hAnsi="Arial"/>
                <w:sz w:val="14"/>
                <w:szCs w:val="14"/>
                <w:color w:val="auto"/>
              </w:rPr>
              <w:t>IOL over 90 days ratio</w:t>
            </w: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2.29%</w:t>
            </w: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2.22%</w:t>
            </w: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2.26%</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 bps</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 bps</w:t>
            </w: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2.29%</w:t>
            </w: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2.26%</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 bps</w:t>
            </w:r>
          </w:p>
        </w:tc>
        <w:tc>
          <w:tcPr>
            <w:tcW w:w="0" w:type="dxa"/>
            <w:vAlign w:val="bottom"/>
          </w:tcPr>
          <w:p>
            <w:pPr>
              <w:spacing w:after="0"/>
              <w:rPr>
                <w:sz w:val="1"/>
                <w:szCs w:val="1"/>
                <w:color w:val="auto"/>
              </w:rPr>
            </w:pPr>
          </w:p>
        </w:tc>
      </w:tr>
      <w:tr>
        <w:trPr>
          <w:trHeight w:val="189"/>
        </w:trPr>
        <w:tc>
          <w:tcPr>
            <w:tcW w:w="312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NPL ratio </w:t>
            </w:r>
            <w:r>
              <w:rPr>
                <w:rFonts w:ascii="Arial" w:cs="Arial" w:eastAsia="Arial" w:hAnsi="Arial"/>
                <w:sz w:val="21"/>
                <w:szCs w:val="21"/>
                <w:color w:val="auto"/>
                <w:vertAlign w:val="superscript"/>
              </w:rPr>
              <w:t>(4)</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4.15%</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4.11%</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4.07%</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 bps</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 bps</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4.15%</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4.07%</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 bps</w:t>
            </w:r>
          </w:p>
        </w:tc>
        <w:tc>
          <w:tcPr>
            <w:tcW w:w="0" w:type="dxa"/>
            <w:vAlign w:val="bottom"/>
          </w:tcPr>
          <w:p>
            <w:pPr>
              <w:spacing w:after="0"/>
              <w:rPr>
                <w:sz w:val="1"/>
                <w:szCs w:val="1"/>
                <w:color w:val="auto"/>
              </w:rPr>
            </w:pPr>
          </w:p>
        </w:tc>
      </w:tr>
      <w:tr>
        <w:trPr>
          <w:trHeight w:val="189"/>
        </w:trPr>
        <w:tc>
          <w:tcPr>
            <w:tcW w:w="3120" w:type="dxa"/>
            <w:vAlign w:val="bottom"/>
          </w:tcPr>
          <w:p>
            <w:pPr>
              <w:spacing w:after="0" w:line="189" w:lineRule="exact"/>
              <w:rPr>
                <w:sz w:val="20"/>
                <w:szCs w:val="20"/>
                <w:color w:val="auto"/>
              </w:rPr>
            </w:pPr>
            <w:r>
              <w:rPr>
                <w:rFonts w:ascii="Arial" w:cs="Arial" w:eastAsia="Arial" w:hAnsi="Arial"/>
                <w:sz w:val="13"/>
                <w:szCs w:val="13"/>
                <w:color w:val="auto"/>
              </w:rPr>
              <w:t xml:space="preserve">Cost of risk </w:t>
            </w:r>
            <w:r>
              <w:rPr>
                <w:rFonts w:ascii="Arial" w:cs="Arial" w:eastAsia="Arial" w:hAnsi="Arial"/>
                <w:sz w:val="21"/>
                <w:szCs w:val="21"/>
                <w:color w:val="auto"/>
                <w:vertAlign w:val="superscript"/>
              </w:rPr>
              <w:t>(2)(5)</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1.67%</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1.64%</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1.79%</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15 bps</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12 bps</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1.43%</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1.59%</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16 bps</w:t>
            </w:r>
          </w:p>
        </w:tc>
        <w:tc>
          <w:tcPr>
            <w:tcW w:w="0" w:type="dxa"/>
            <w:vAlign w:val="bottom"/>
          </w:tcPr>
          <w:p>
            <w:pPr>
              <w:spacing w:after="0"/>
              <w:rPr>
                <w:sz w:val="1"/>
                <w:szCs w:val="1"/>
                <w:color w:val="auto"/>
              </w:rPr>
            </w:pPr>
          </w:p>
        </w:tc>
      </w:tr>
      <w:tr>
        <w:trPr>
          <w:trHeight w:val="149"/>
        </w:trPr>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Coverage ratio of IOLs</w:t>
            </w: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154.3%</w:t>
            </w: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148.5%</w:t>
            </w: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148.8%</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30 bps</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-550 bps</w:t>
            </w: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154.3%</w:t>
            </w: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148.8%</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-550 bps</w:t>
            </w:r>
          </w:p>
        </w:tc>
        <w:tc>
          <w:tcPr>
            <w:tcW w:w="0" w:type="dxa"/>
            <w:vAlign w:val="bottom"/>
          </w:tcPr>
          <w:p>
            <w:pPr>
              <w:spacing w:after="0"/>
              <w:rPr>
                <w:sz w:val="1"/>
                <w:szCs w:val="1"/>
                <w:color w:val="auto"/>
              </w:rPr>
            </w:pPr>
          </w:p>
        </w:tc>
      </w:tr>
      <w:tr>
        <w:trPr>
          <w:trHeight w:val="149"/>
        </w:trPr>
        <w:tc>
          <w:tcPr>
            <w:tcW w:w="3120" w:type="dxa"/>
            <w:vAlign w:val="bottom"/>
          </w:tcPr>
          <w:p>
            <w:pPr>
              <w:spacing w:after="0" w:line="149" w:lineRule="exact"/>
              <w:rPr>
                <w:sz w:val="20"/>
                <w:szCs w:val="20"/>
                <w:color w:val="auto"/>
              </w:rPr>
            </w:pPr>
            <w:r>
              <w:rPr>
                <w:rFonts w:ascii="Arial" w:cs="Arial" w:eastAsia="Arial" w:hAnsi="Arial"/>
                <w:sz w:val="14"/>
                <w:szCs w:val="14"/>
                <w:color w:val="auto"/>
              </w:rPr>
              <w:t>Coverage ratio of IOL 90-days</w:t>
            </w: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205.0%</w:t>
            </w: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201.3%</w:t>
            </w: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196.0%</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-530 bps</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-900 bps</w:t>
            </w: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205.0%</w:t>
            </w: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196.0%</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-900 bps</w:t>
            </w:r>
          </w:p>
        </w:tc>
        <w:tc>
          <w:tcPr>
            <w:tcW w:w="0" w:type="dxa"/>
            <w:vAlign w:val="bottom"/>
          </w:tcPr>
          <w:p>
            <w:pPr>
              <w:spacing w:after="0"/>
              <w:rPr>
                <w:sz w:val="1"/>
                <w:szCs w:val="1"/>
                <w:color w:val="auto"/>
              </w:rPr>
            </w:pPr>
          </w:p>
        </w:tc>
      </w:tr>
      <w:tr>
        <w:trPr>
          <w:trHeight w:val="162"/>
        </w:trPr>
        <w:tc>
          <w:tcPr>
            <w:tcW w:w="3120" w:type="dxa"/>
            <w:vAlign w:val="bottom"/>
            <w:shd w:val="clear" w:color="auto" w:fill="CCEEFF"/>
          </w:tcPr>
          <w:p>
            <w:pPr>
              <w:spacing w:after="0"/>
              <w:rPr>
                <w:sz w:val="20"/>
                <w:szCs w:val="20"/>
                <w:color w:val="auto"/>
              </w:rPr>
            </w:pPr>
            <w:r>
              <w:rPr>
                <w:rFonts w:ascii="Arial" w:cs="Arial" w:eastAsia="Arial" w:hAnsi="Arial"/>
                <w:sz w:val="14"/>
                <w:szCs w:val="14"/>
                <w:color w:val="auto"/>
              </w:rPr>
              <w:t>Coverage ratio of NPLs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112.8%</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108.5%</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108.9%</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40 bps</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-390 bps</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112.8%</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108.9%</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-390 bps</w:t>
            </w:r>
          </w:p>
        </w:tc>
        <w:tc>
          <w:tcPr>
            <w:tcW w:w="0" w:type="dxa"/>
            <w:vAlign w:val="bottom"/>
          </w:tcPr>
          <w:p>
            <w:pPr>
              <w:spacing w:after="0"/>
              <w:rPr>
                <w:sz w:val="1"/>
                <w:szCs w:val="1"/>
                <w:color w:val="auto"/>
              </w:rPr>
            </w:pPr>
          </w:p>
        </w:tc>
      </w:tr>
      <w:tr>
        <w:trPr>
          <w:trHeight w:val="142"/>
        </w:trPr>
        <w:tc>
          <w:tcPr>
            <w:tcW w:w="3120" w:type="dxa"/>
            <w:vAlign w:val="bottom"/>
          </w:tcPr>
          <w:p>
            <w:pPr>
              <w:spacing w:after="0" w:line="142" w:lineRule="exact"/>
              <w:rPr>
                <w:sz w:val="20"/>
                <w:szCs w:val="20"/>
                <w:color w:val="auto"/>
              </w:rPr>
            </w:pPr>
            <w:r>
              <w:rPr>
                <w:rFonts w:ascii="Arial" w:cs="Arial" w:eastAsia="Arial" w:hAnsi="Arial"/>
                <w:sz w:val="14"/>
                <w:szCs w:val="14"/>
                <w:b w:val="1"/>
                <w:bCs w:val="1"/>
                <w:color w:val="auto"/>
              </w:rPr>
              <w:t>Operating efficiency</w:t>
            </w: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12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Efficiency ratio </w:t>
            </w:r>
            <w:r>
              <w:rPr>
                <w:rFonts w:ascii="Arial" w:cs="Arial" w:eastAsia="Arial" w:hAnsi="Arial"/>
                <w:sz w:val="21"/>
                <w:szCs w:val="21"/>
                <w:color w:val="auto"/>
                <w:vertAlign w:val="superscript"/>
              </w:rPr>
              <w:t>(1)(6)</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43.6%</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43.1%</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43.2%</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10 bps</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-40 bps</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43.2%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42.8%</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-40 bps</w:t>
            </w:r>
          </w:p>
        </w:tc>
        <w:tc>
          <w:tcPr>
            <w:tcW w:w="0" w:type="dxa"/>
            <w:vAlign w:val="bottom"/>
          </w:tcPr>
          <w:p>
            <w:pPr>
              <w:spacing w:after="0"/>
              <w:rPr>
                <w:sz w:val="1"/>
                <w:szCs w:val="1"/>
                <w:color w:val="auto"/>
              </w:rPr>
            </w:pPr>
          </w:p>
        </w:tc>
      </w:tr>
      <w:tr>
        <w:trPr>
          <w:trHeight w:val="189"/>
        </w:trPr>
        <w:tc>
          <w:tcPr>
            <w:tcW w:w="3120" w:type="dxa"/>
            <w:vAlign w:val="bottom"/>
          </w:tcPr>
          <w:p>
            <w:pPr>
              <w:spacing w:after="0" w:line="189" w:lineRule="exact"/>
              <w:rPr>
                <w:sz w:val="20"/>
                <w:szCs w:val="20"/>
                <w:color w:val="auto"/>
              </w:rPr>
            </w:pPr>
            <w:r>
              <w:rPr>
                <w:rFonts w:ascii="Arial" w:cs="Arial" w:eastAsia="Arial" w:hAnsi="Arial"/>
                <w:sz w:val="13"/>
                <w:szCs w:val="13"/>
                <w:color w:val="auto"/>
              </w:rPr>
              <w:t xml:space="preserve">Operating expenses / Total average assets </w:t>
            </w:r>
            <w:r>
              <w:rPr>
                <w:rFonts w:ascii="Arial" w:cs="Arial" w:eastAsia="Arial" w:hAnsi="Arial"/>
                <w:sz w:val="21"/>
                <w:szCs w:val="21"/>
                <w:color w:val="auto"/>
                <w:vertAlign w:val="superscript"/>
              </w:rPr>
              <w:t>(7)</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3.80%</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3.68%</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3.68%</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0 bps</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-12 bps</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3.64%</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3.61%</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-3 bps</w:t>
            </w:r>
          </w:p>
        </w:tc>
        <w:tc>
          <w:tcPr>
            <w:tcW w:w="0" w:type="dxa"/>
            <w:vAlign w:val="bottom"/>
          </w:tcPr>
          <w:p>
            <w:pPr>
              <w:spacing w:after="0"/>
              <w:rPr>
                <w:sz w:val="1"/>
                <w:szCs w:val="1"/>
                <w:color w:val="auto"/>
              </w:rPr>
            </w:pPr>
          </w:p>
        </w:tc>
      </w:tr>
      <w:tr>
        <w:trPr>
          <w:trHeight w:val="142"/>
        </w:trPr>
        <w:tc>
          <w:tcPr>
            <w:tcW w:w="31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Insurance ratios</w:t>
            </w:r>
          </w:p>
        </w:tc>
        <w:tc>
          <w:tcPr>
            <w:tcW w:w="8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120" w:type="dxa"/>
            <w:vAlign w:val="bottom"/>
          </w:tcPr>
          <w:p>
            <w:pPr>
              <w:spacing w:after="0" w:line="189" w:lineRule="exact"/>
              <w:rPr>
                <w:sz w:val="20"/>
                <w:szCs w:val="20"/>
                <w:color w:val="auto"/>
              </w:rPr>
            </w:pPr>
            <w:r>
              <w:rPr>
                <w:rFonts w:ascii="Arial" w:cs="Arial" w:eastAsia="Arial" w:hAnsi="Arial"/>
                <w:sz w:val="13"/>
                <w:szCs w:val="13"/>
                <w:color w:val="auto"/>
              </w:rPr>
              <w:t xml:space="preserve">Combined ratio of P&amp;C </w:t>
            </w:r>
            <w:r>
              <w:rPr>
                <w:rFonts w:ascii="Arial" w:cs="Arial" w:eastAsia="Arial" w:hAnsi="Arial"/>
                <w:sz w:val="21"/>
                <w:szCs w:val="21"/>
                <w:color w:val="auto"/>
                <w:vertAlign w:val="superscript"/>
              </w:rPr>
              <w:t>(1)(8)(9)</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96.5%</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97.5%</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97.9%</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40 bps</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140 bps</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100.3%</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99.8%</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-50 bps</w:t>
            </w:r>
          </w:p>
        </w:tc>
        <w:tc>
          <w:tcPr>
            <w:tcW w:w="0" w:type="dxa"/>
            <w:vAlign w:val="bottom"/>
          </w:tcPr>
          <w:p>
            <w:pPr>
              <w:spacing w:after="0"/>
              <w:rPr>
                <w:sz w:val="1"/>
                <w:szCs w:val="1"/>
                <w:color w:val="auto"/>
              </w:rPr>
            </w:pPr>
          </w:p>
        </w:tc>
      </w:tr>
      <w:tr>
        <w:trPr>
          <w:trHeight w:val="189"/>
        </w:trPr>
        <w:tc>
          <w:tcPr>
            <w:tcW w:w="312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Loss ratio </w:t>
            </w:r>
            <w:r>
              <w:rPr>
                <w:rFonts w:ascii="Arial" w:cs="Arial" w:eastAsia="Arial" w:hAnsi="Arial"/>
                <w:sz w:val="21"/>
                <w:szCs w:val="21"/>
                <w:color w:val="auto"/>
                <w:vertAlign w:val="superscript"/>
              </w:rPr>
              <w:t>(9)(10)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59.1%</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64.1%</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63.8%</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-30 bps</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470 bps</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58.5%</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64.5%</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600 bps</w:t>
            </w:r>
          </w:p>
        </w:tc>
        <w:tc>
          <w:tcPr>
            <w:tcW w:w="0" w:type="dxa"/>
            <w:vAlign w:val="bottom"/>
          </w:tcPr>
          <w:p>
            <w:pPr>
              <w:spacing w:after="0"/>
              <w:rPr>
                <w:sz w:val="1"/>
                <w:szCs w:val="1"/>
                <w:color w:val="auto"/>
              </w:rPr>
            </w:pPr>
          </w:p>
        </w:tc>
      </w:tr>
      <w:tr>
        <w:trPr>
          <w:trHeight w:val="189"/>
        </w:trPr>
        <w:tc>
          <w:tcPr>
            <w:tcW w:w="3120" w:type="dxa"/>
            <w:vAlign w:val="bottom"/>
          </w:tcPr>
          <w:p>
            <w:pPr>
              <w:spacing w:after="0" w:line="189" w:lineRule="exact"/>
              <w:rPr>
                <w:sz w:val="20"/>
                <w:szCs w:val="20"/>
                <w:color w:val="auto"/>
              </w:rPr>
            </w:pPr>
            <w:r>
              <w:rPr>
                <w:rFonts w:ascii="Arial" w:cs="Arial" w:eastAsia="Arial" w:hAnsi="Arial"/>
                <w:sz w:val="13"/>
                <w:szCs w:val="13"/>
                <w:color w:val="auto"/>
              </w:rPr>
              <w:t xml:space="preserve">Underwriting result / net earned premiums </w:t>
            </w:r>
            <w:r>
              <w:rPr>
                <w:rFonts w:ascii="Arial" w:cs="Arial" w:eastAsia="Arial" w:hAnsi="Arial"/>
                <w:sz w:val="21"/>
                <w:szCs w:val="21"/>
                <w:color w:val="auto"/>
                <w:vertAlign w:val="superscript"/>
              </w:rPr>
              <w:t>(9)</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9.2%</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6.9%</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7.2%</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30 bps</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-200 bps</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8.3%</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6.5%</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-180 bps</w:t>
            </w:r>
          </w:p>
        </w:tc>
        <w:tc>
          <w:tcPr>
            <w:tcW w:w="0" w:type="dxa"/>
            <w:vAlign w:val="bottom"/>
          </w:tcPr>
          <w:p>
            <w:pPr>
              <w:spacing w:after="0"/>
              <w:rPr>
                <w:sz w:val="1"/>
                <w:szCs w:val="1"/>
                <w:color w:val="auto"/>
              </w:rPr>
            </w:pPr>
          </w:p>
        </w:tc>
      </w:tr>
      <w:tr>
        <w:trPr>
          <w:trHeight w:val="169"/>
        </w:trPr>
        <w:tc>
          <w:tcPr>
            <w:tcW w:w="312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2"/>
                <w:szCs w:val="12"/>
                <w:b w:val="1"/>
                <w:bCs w:val="1"/>
                <w:color w:val="auto"/>
              </w:rPr>
              <w:t xml:space="preserve">Capital adequacy </w:t>
            </w:r>
            <w:r>
              <w:rPr>
                <w:rFonts w:ascii="Arial" w:cs="Arial" w:eastAsia="Arial" w:hAnsi="Arial"/>
                <w:sz w:val="19"/>
                <w:szCs w:val="19"/>
                <w:b w:val="1"/>
                <w:bCs w:val="1"/>
                <w:color w:val="auto"/>
                <w:vertAlign w:val="superscript"/>
              </w:rPr>
              <w:t>(11)</w:t>
            </w:r>
          </w:p>
        </w:tc>
        <w:tc>
          <w:tcPr>
            <w:tcW w:w="8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120" w:type="dxa"/>
            <w:vAlign w:val="bottom"/>
          </w:tcPr>
          <w:p>
            <w:pPr>
              <w:spacing w:after="0" w:line="189" w:lineRule="exact"/>
              <w:rPr>
                <w:sz w:val="20"/>
                <w:szCs w:val="20"/>
                <w:color w:val="auto"/>
              </w:rPr>
            </w:pPr>
            <w:r>
              <w:rPr>
                <w:rFonts w:ascii="Arial" w:cs="Arial" w:eastAsia="Arial" w:hAnsi="Arial"/>
                <w:sz w:val="13"/>
                <w:szCs w:val="13"/>
                <w:color w:val="auto"/>
              </w:rPr>
              <w:t xml:space="preserve">BIS ratio </w:t>
            </w:r>
            <w:r>
              <w:rPr>
                <w:rFonts w:ascii="Arial" w:cs="Arial" w:eastAsia="Arial" w:hAnsi="Arial"/>
                <w:sz w:val="21"/>
                <w:szCs w:val="21"/>
                <w:color w:val="auto"/>
                <w:vertAlign w:val="superscript"/>
              </w:rPr>
              <w:t>(12)</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14.94%</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14.95%</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15.45%</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50 bps</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51 bps</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14.94%</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15.45%</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51 bps</w:t>
            </w:r>
          </w:p>
        </w:tc>
        <w:tc>
          <w:tcPr>
            <w:tcW w:w="0" w:type="dxa"/>
            <w:vAlign w:val="bottom"/>
          </w:tcPr>
          <w:p>
            <w:pPr>
              <w:spacing w:after="0"/>
              <w:rPr>
                <w:sz w:val="1"/>
                <w:szCs w:val="1"/>
                <w:color w:val="auto"/>
              </w:rPr>
            </w:pPr>
          </w:p>
        </w:tc>
      </w:tr>
      <w:tr>
        <w:trPr>
          <w:trHeight w:val="189"/>
        </w:trPr>
        <w:tc>
          <w:tcPr>
            <w:tcW w:w="312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Tier 1 ratio </w:t>
            </w:r>
            <w:r>
              <w:rPr>
                <w:rFonts w:ascii="Arial" w:cs="Arial" w:eastAsia="Arial" w:hAnsi="Arial"/>
                <w:sz w:val="21"/>
                <w:szCs w:val="21"/>
                <w:color w:val="auto"/>
                <w:vertAlign w:val="superscript"/>
              </w:rPr>
              <w:t>(13)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10.96%</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11.33%</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11.79%</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46 bps</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83 bps</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10.96%</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11.79%</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83 bps</w:t>
            </w:r>
          </w:p>
        </w:tc>
        <w:tc>
          <w:tcPr>
            <w:tcW w:w="0" w:type="dxa"/>
            <w:vAlign w:val="bottom"/>
          </w:tcPr>
          <w:p>
            <w:pPr>
              <w:spacing w:after="0"/>
              <w:rPr>
                <w:sz w:val="1"/>
                <w:szCs w:val="1"/>
                <w:color w:val="auto"/>
              </w:rPr>
            </w:pPr>
          </w:p>
        </w:tc>
      </w:tr>
      <w:tr>
        <w:trPr>
          <w:trHeight w:val="189"/>
        </w:trPr>
        <w:tc>
          <w:tcPr>
            <w:tcW w:w="3120" w:type="dxa"/>
            <w:vAlign w:val="bottom"/>
          </w:tcPr>
          <w:p>
            <w:pPr>
              <w:spacing w:after="0" w:line="189" w:lineRule="exact"/>
              <w:rPr>
                <w:sz w:val="20"/>
                <w:szCs w:val="20"/>
                <w:color w:val="auto"/>
              </w:rPr>
            </w:pPr>
            <w:r>
              <w:rPr>
                <w:rFonts w:ascii="Arial" w:cs="Arial" w:eastAsia="Arial" w:hAnsi="Arial"/>
                <w:sz w:val="13"/>
                <w:szCs w:val="13"/>
                <w:color w:val="auto"/>
              </w:rPr>
              <w:t xml:space="preserve">Common equity tier 1 ratio </w:t>
            </w:r>
            <w:r>
              <w:rPr>
                <w:rFonts w:ascii="Arial" w:cs="Arial" w:eastAsia="Arial" w:hAnsi="Arial"/>
                <w:sz w:val="21"/>
                <w:szCs w:val="21"/>
                <w:color w:val="auto"/>
                <w:vertAlign w:val="superscript"/>
              </w:rPr>
              <w:t>(14)</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11.61%</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11.82%</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11.95%</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13 bps</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34 bps</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11.61%</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11.95%</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34 bps</w:t>
            </w:r>
          </w:p>
        </w:tc>
        <w:tc>
          <w:tcPr>
            <w:tcW w:w="0" w:type="dxa"/>
            <w:vAlign w:val="bottom"/>
          </w:tcPr>
          <w:p>
            <w:pPr>
              <w:spacing w:after="0"/>
              <w:rPr>
                <w:sz w:val="1"/>
                <w:szCs w:val="1"/>
                <w:color w:val="auto"/>
              </w:rPr>
            </w:pPr>
          </w:p>
        </w:tc>
      </w:tr>
      <w:tr>
        <w:trPr>
          <w:trHeight w:val="20"/>
        </w:trPr>
        <w:tc>
          <w:tcPr>
            <w:tcW w:w="3120" w:type="dxa"/>
            <w:vAlign w:val="bottom"/>
            <w:vMerge w:val="restart"/>
            <w:shd w:val="clear" w:color="auto" w:fill="CCEEFF"/>
          </w:tcPr>
          <w:p>
            <w:pPr>
              <w:spacing w:after="0" w:line="189" w:lineRule="exact"/>
              <w:rPr>
                <w:sz w:val="20"/>
                <w:szCs w:val="20"/>
                <w:color w:val="auto"/>
              </w:rPr>
            </w:pPr>
            <w:r>
              <w:rPr>
                <w:rFonts w:ascii="Arial" w:cs="Arial" w:eastAsia="Arial" w:hAnsi="Arial"/>
                <w:sz w:val="13"/>
                <w:szCs w:val="13"/>
                <w:b w:val="1"/>
                <w:bCs w:val="1"/>
                <w:color w:val="auto"/>
              </w:rPr>
              <w:t xml:space="preserve">Employees </w:t>
            </w:r>
            <w:r>
              <w:rPr>
                <w:rFonts w:ascii="Arial" w:cs="Arial" w:eastAsia="Arial" w:hAnsi="Arial"/>
                <w:sz w:val="21"/>
                <w:szCs w:val="21"/>
                <w:b w:val="1"/>
                <w:bCs w:val="1"/>
                <w:color w:val="auto"/>
                <w:vertAlign w:val="superscript"/>
              </w:rPr>
              <w:t>(1)</w:t>
            </w: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120" w:type="dxa"/>
            <w:vAlign w:val="bottom"/>
            <w:vMerge w:val="continue"/>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33,643</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34,963</w:t>
            </w:r>
          </w:p>
        </w:tc>
        <w:tc>
          <w:tcPr>
            <w:tcW w:w="2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35,119</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0.4%</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4.4%</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33,643</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35,119</w:t>
            </w:r>
          </w:p>
        </w:tc>
        <w:tc>
          <w:tcPr>
            <w:tcW w:w="2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2"/>
        </w:trPr>
        <w:tc>
          <w:tcPr>
            <w:tcW w:w="3120" w:type="dxa"/>
            <w:vAlign w:val="bottom"/>
          </w:tcPr>
          <w:p>
            <w:pPr>
              <w:spacing w:after="0" w:line="142" w:lineRule="exact"/>
              <w:rPr>
                <w:sz w:val="20"/>
                <w:szCs w:val="20"/>
                <w:color w:val="auto"/>
              </w:rPr>
            </w:pPr>
            <w:r>
              <w:rPr>
                <w:rFonts w:ascii="Arial" w:cs="Arial" w:eastAsia="Arial" w:hAnsi="Arial"/>
                <w:sz w:val="14"/>
                <w:szCs w:val="14"/>
                <w:b w:val="1"/>
                <w:bCs w:val="1"/>
                <w:color w:val="auto"/>
              </w:rPr>
              <w:t>Share Information</w:t>
            </w: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Outstanding Shares</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94,382</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94,382</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94,382</w:t>
            </w: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0.0%</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94,382</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94,382</w:t>
            </w:r>
          </w:p>
        </w:tc>
        <w:tc>
          <w:tcPr>
            <w:tcW w:w="9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89"/>
        </w:trPr>
        <w:tc>
          <w:tcPr>
            <w:tcW w:w="3120" w:type="dxa"/>
            <w:vAlign w:val="bottom"/>
          </w:tcPr>
          <w:p>
            <w:pPr>
              <w:ind w:left="180"/>
              <w:spacing w:after="0" w:line="189" w:lineRule="exact"/>
              <w:rPr>
                <w:sz w:val="20"/>
                <w:szCs w:val="20"/>
                <w:color w:val="auto"/>
              </w:rPr>
            </w:pPr>
            <w:r>
              <w:rPr>
                <w:rFonts w:ascii="Arial" w:cs="Arial" w:eastAsia="Arial" w:hAnsi="Arial"/>
                <w:sz w:val="13"/>
                <w:szCs w:val="13"/>
                <w:color w:val="auto"/>
              </w:rPr>
              <w:t xml:space="preserve">Treasury Shares </w:t>
            </w:r>
            <w:r>
              <w:rPr>
                <w:rFonts w:ascii="Arial" w:cs="Arial" w:eastAsia="Arial" w:hAnsi="Arial"/>
                <w:sz w:val="21"/>
                <w:szCs w:val="21"/>
                <w:color w:val="auto"/>
                <w:vertAlign w:val="superscript"/>
              </w:rPr>
              <w:t>(15)</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14,621</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14,621</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14,621</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0.0%</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0.0%</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14,621</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14,621</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31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Floating Shares</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79,761</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79,761</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79,761</w:t>
            </w: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0.0%</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79,761</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79,761</w:t>
            </w:r>
          </w:p>
        </w:tc>
        <w:tc>
          <w:tcPr>
            <w:tcW w:w="9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4"/>
          <w:szCs w:val="14"/>
          <w:color w:val="auto"/>
        </w:rPr>
      </w:pPr>
      <w:r>
        <w:rPr>
          <w:rFonts w:ascii="Arial" w:cs="Arial" w:eastAsia="Arial" w:hAnsi="Arial"/>
          <w:sz w:val="14"/>
          <w:szCs w:val="14"/>
          <w:color w:val="auto"/>
        </w:rPr>
        <w:t>Figures differ from previously reported, please consider the data presented on this report.</w:t>
      </w:r>
    </w:p>
    <w:p>
      <w:pPr>
        <w:ind w:left="220" w:hanging="212"/>
        <w:spacing w:after="0" w:line="221" w:lineRule="auto"/>
        <w:tabs>
          <w:tab w:leader="none" w:pos="220" w:val="left"/>
        </w:tabs>
        <w:numPr>
          <w:ilvl w:val="0"/>
          <w:numId w:val="2"/>
        </w:numPr>
        <w:rPr>
          <w:rFonts w:ascii="Arial" w:cs="Arial" w:eastAsia="Arial" w:hAnsi="Arial"/>
          <w:sz w:val="14"/>
          <w:szCs w:val="14"/>
          <w:color w:val="auto"/>
        </w:rPr>
      </w:pPr>
      <w:r>
        <w:rPr>
          <w:rFonts w:ascii="Arial" w:cs="Arial" w:eastAsia="Arial" w:hAnsi="Arial"/>
          <w:sz w:val="14"/>
          <w:szCs w:val="14"/>
          <w:color w:val="auto"/>
        </w:rPr>
        <w:t>Annualized.</w:t>
      </w:r>
    </w:p>
    <w:p>
      <w:pPr>
        <w:ind w:left="220" w:hanging="212"/>
        <w:spacing w:after="0"/>
        <w:tabs>
          <w:tab w:leader="none" w:pos="220" w:val="left"/>
        </w:tabs>
        <w:numPr>
          <w:ilvl w:val="0"/>
          <w:numId w:val="2"/>
        </w:numPr>
        <w:rPr>
          <w:rFonts w:ascii="Arial" w:cs="Arial" w:eastAsia="Arial" w:hAnsi="Arial"/>
          <w:sz w:val="13"/>
          <w:szCs w:val="13"/>
          <w:color w:val="auto"/>
        </w:rPr>
      </w:pPr>
      <w:r>
        <w:rPr>
          <w:rFonts w:ascii="Arial" w:cs="Arial" w:eastAsia="Arial" w:hAnsi="Arial"/>
          <w:sz w:val="13"/>
          <w:szCs w:val="13"/>
          <w:color w:val="auto"/>
        </w:rPr>
        <w:t>Internal overdue loans: includes overdue loans and loans under legal collection, according to our internal policy for overdue loans. Internal Overdue ratio: Internal overdue loans / Total loans.</w:t>
      </w:r>
    </w:p>
    <w:p>
      <w:pPr>
        <w:ind w:left="220" w:hanging="212"/>
        <w:spacing w:after="0" w:line="221" w:lineRule="auto"/>
        <w:tabs>
          <w:tab w:leader="none" w:pos="220" w:val="left"/>
        </w:tabs>
        <w:numPr>
          <w:ilvl w:val="0"/>
          <w:numId w:val="2"/>
        </w:numPr>
        <w:rPr>
          <w:rFonts w:ascii="Arial" w:cs="Arial" w:eastAsia="Arial" w:hAnsi="Arial"/>
          <w:sz w:val="14"/>
          <w:szCs w:val="14"/>
          <w:color w:val="auto"/>
        </w:rPr>
      </w:pPr>
      <w:r>
        <w:rPr>
          <w:rFonts w:ascii="Arial" w:cs="Arial" w:eastAsia="Arial" w:hAnsi="Arial"/>
          <w:sz w:val="14"/>
          <w:szCs w:val="14"/>
          <w:color w:val="auto"/>
        </w:rPr>
        <w:t>Non-performing loans (NPL): Internal overdue loans + Refinanced loans. NPL ratio: NPL / Total loans.</w:t>
      </w:r>
    </w:p>
    <w:p>
      <w:pPr>
        <w:ind w:left="220" w:hanging="212"/>
        <w:spacing w:after="0" w:line="221" w:lineRule="auto"/>
        <w:tabs>
          <w:tab w:leader="none" w:pos="2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Cost of risk: Annualized Provision for credit losses on loan portfolio, net of recoveries / Total loans.</w:t>
      </w:r>
    </w:p>
    <w:p>
      <w:pPr>
        <w:ind w:firstLine="8"/>
        <w:spacing w:after="0" w:line="238" w:lineRule="auto"/>
        <w:tabs>
          <w:tab w:leader="none" w:pos="215" w:val="left"/>
        </w:tabs>
        <w:numPr>
          <w:ilvl w:val="0"/>
          <w:numId w:val="2"/>
        </w:numPr>
        <w:rPr>
          <w:rFonts w:ascii="Arial" w:cs="Arial" w:eastAsia="Arial" w:hAnsi="Arial"/>
          <w:sz w:val="13"/>
          <w:szCs w:val="13"/>
          <w:color w:val="auto"/>
        </w:rPr>
      </w:pPr>
      <w:r>
        <w:rPr>
          <w:rFonts w:ascii="Arial" w:cs="Arial" w:eastAsia="Arial" w:hAnsi="Arial"/>
          <w:sz w:val="13"/>
          <w:szCs w:val="13"/>
          <w:color w:val="auto"/>
        </w:rPr>
        <w:t>Efficiency ratio = (Salaries and employee benefits + Administrative expenses + Depreciation and amortization + Association in participation + Acquisition cost) / (Net interest income + Fee Income + Net gain on foreign exchange transactions + Net Gain From associates + Net gain on derivatives held for trading + Result on exchange differences + Net Premiums Earned).</w:t>
      </w:r>
    </w:p>
    <w:p>
      <w:pPr>
        <w:ind w:left="220" w:hanging="212"/>
        <w:spacing w:after="0" w:line="221" w:lineRule="auto"/>
        <w:tabs>
          <w:tab w:leader="none" w:pos="220" w:val="left"/>
        </w:tabs>
        <w:numPr>
          <w:ilvl w:val="0"/>
          <w:numId w:val="2"/>
        </w:numPr>
        <w:rPr>
          <w:rFonts w:ascii="Arial" w:cs="Arial" w:eastAsia="Arial" w:hAnsi="Arial"/>
          <w:sz w:val="14"/>
          <w:szCs w:val="14"/>
          <w:color w:val="auto"/>
        </w:rPr>
      </w:pPr>
      <w:r>
        <w:rPr>
          <w:rFonts w:ascii="Arial" w:cs="Arial" w:eastAsia="Arial" w:hAnsi="Arial"/>
          <w:sz w:val="14"/>
          <w:szCs w:val="14"/>
          <w:color w:val="auto"/>
        </w:rPr>
        <w:t>Operating expenses / Average of Total Assets. Average is calculated with period-beginning and period-ending balances. "</w:t>
      </w:r>
    </w:p>
    <w:p>
      <w:pPr>
        <w:ind w:left="220" w:hanging="212"/>
        <w:spacing w:after="0" w:line="221" w:lineRule="auto"/>
        <w:tabs>
          <w:tab w:leader="none" w:pos="2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Combined ratio = (Net claims / Net earned premiums) + [(Acquisition cost + Operating expenses) / Net earned premiums]. Does not include Life insurance business.</w:t>
      </w:r>
    </w:p>
    <w:p>
      <w:pPr>
        <w:ind w:left="220" w:hanging="212"/>
        <w:spacing w:after="0" w:line="221" w:lineRule="auto"/>
        <w:tabs>
          <w:tab w:leader="none" w:pos="2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Considers Grupo Pacifico's figures before eliminations for consolidation to Credicorp.</w:t>
      </w:r>
    </w:p>
    <w:p>
      <w:pPr>
        <w:ind w:left="280" w:hanging="272"/>
        <w:spacing w:after="0" w:line="221" w:lineRule="auto"/>
        <w:tabs>
          <w:tab w:leader="none" w:pos="280" w:val="left"/>
        </w:tabs>
        <w:numPr>
          <w:ilvl w:val="0"/>
          <w:numId w:val="2"/>
        </w:numPr>
        <w:rPr>
          <w:rFonts w:ascii="Arial" w:cs="Arial" w:eastAsia="Arial" w:hAnsi="Arial"/>
          <w:sz w:val="14"/>
          <w:szCs w:val="14"/>
          <w:color w:val="auto"/>
        </w:rPr>
      </w:pPr>
      <w:r>
        <w:rPr>
          <w:rFonts w:ascii="Arial" w:cs="Arial" w:eastAsia="Arial" w:hAnsi="Arial"/>
          <w:sz w:val="14"/>
          <w:szCs w:val="14"/>
          <w:color w:val="auto"/>
        </w:rPr>
        <w:t>Net claims / Net earned premiums.</w:t>
      </w:r>
    </w:p>
    <w:p>
      <w:pPr>
        <w:ind w:left="280" w:hanging="272"/>
        <w:spacing w:after="0" w:line="221" w:lineRule="auto"/>
        <w:tabs>
          <w:tab w:leader="none" w:pos="280" w:val="left"/>
        </w:tabs>
        <w:numPr>
          <w:ilvl w:val="0"/>
          <w:numId w:val="2"/>
        </w:numPr>
        <w:rPr>
          <w:rFonts w:ascii="Arial" w:cs="Arial" w:eastAsia="Arial" w:hAnsi="Arial"/>
          <w:sz w:val="14"/>
          <w:szCs w:val="14"/>
          <w:color w:val="auto"/>
        </w:rPr>
      </w:pPr>
      <w:r>
        <w:rPr>
          <w:rFonts w:ascii="Arial" w:cs="Arial" w:eastAsia="Arial" w:hAnsi="Arial"/>
          <w:sz w:val="14"/>
          <w:szCs w:val="14"/>
          <w:color w:val="auto"/>
        </w:rPr>
        <w:t>All Capital ratios are for BCP Stand-alone and based on Peru GAAP.</w:t>
      </w:r>
    </w:p>
    <w:p>
      <w:pPr>
        <w:ind w:left="280" w:hanging="272"/>
        <w:spacing w:after="0" w:line="221" w:lineRule="auto"/>
        <w:tabs>
          <w:tab w:leader="none" w:pos="280" w:val="left"/>
        </w:tabs>
        <w:numPr>
          <w:ilvl w:val="0"/>
          <w:numId w:val="2"/>
        </w:numPr>
        <w:rPr>
          <w:rFonts w:ascii="Arial" w:cs="Arial" w:eastAsia="Arial" w:hAnsi="Arial"/>
          <w:sz w:val="14"/>
          <w:szCs w:val="14"/>
          <w:color w:val="auto"/>
        </w:rPr>
      </w:pPr>
      <w:r>
        <w:rPr>
          <w:rFonts w:ascii="Arial" w:cs="Arial" w:eastAsia="Arial" w:hAnsi="Arial"/>
          <w:sz w:val="14"/>
          <w:szCs w:val="14"/>
          <w:color w:val="auto"/>
        </w:rPr>
        <w:t>Regulatory Capital / Risk-weighted assets (legal minimum = 10% since July 2011).</w:t>
      </w:r>
    </w:p>
    <w:p>
      <w:pPr>
        <w:jc w:val="both"/>
        <w:ind w:firstLine="8"/>
        <w:spacing w:after="0" w:line="221" w:lineRule="auto"/>
        <w:tabs>
          <w:tab w:leader="none" w:pos="295" w:val="left"/>
        </w:tabs>
        <w:numPr>
          <w:ilvl w:val="0"/>
          <w:numId w:val="2"/>
        </w:numPr>
        <w:rPr>
          <w:rFonts w:ascii="Arial" w:cs="Arial" w:eastAsia="Arial" w:hAnsi="Arial"/>
          <w:sz w:val="14"/>
          <w:szCs w:val="14"/>
          <w:color w:val="auto"/>
        </w:rPr>
      </w:pPr>
      <w:r>
        <w:rPr>
          <w:rFonts w:ascii="Arial" w:cs="Arial" w:eastAsia="Arial" w:hAnsi="Arial"/>
          <w:sz w:val="14"/>
          <w:szCs w:val="14"/>
          <w:color w:val="auto"/>
        </w:rPr>
        <w:t>Tier 1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firstLine="8"/>
        <w:spacing w:after="0" w:line="221" w:lineRule="auto"/>
        <w:tabs>
          <w:tab w:leader="none" w:pos="276" w:val="left"/>
        </w:tabs>
        <w:numPr>
          <w:ilvl w:val="0"/>
          <w:numId w:val="2"/>
        </w:numPr>
        <w:rPr>
          <w:rFonts w:ascii="Arial" w:cs="Arial" w:eastAsia="Arial" w:hAnsi="Arial"/>
          <w:sz w:val="14"/>
          <w:szCs w:val="14"/>
          <w:color w:val="auto"/>
        </w:rPr>
      </w:pPr>
      <w:r>
        <w:rPr>
          <w:rFonts w:ascii="Arial" w:cs="Arial" w:eastAsia="Arial" w:hAnsi="Arial"/>
          <w:sz w:val="14"/>
          <w:szCs w:val="14"/>
          <w:color w:val="auto"/>
        </w:rPr>
        <w:t>Common Equity Tier I = Capital + Reserves – 100% of applicable deductions (investment in subsidiaries, goodwill, intangibles and net deferred taxes that rely on future profitability) + retained earnings + unrealized gains.</w:t>
      </w:r>
    </w:p>
    <w:p>
      <w:pPr>
        <w:spacing w:after="0" w:line="221" w:lineRule="auto"/>
        <w:rPr>
          <w:rFonts w:ascii="Arial" w:cs="Arial" w:eastAsia="Arial" w:hAnsi="Arial"/>
          <w:sz w:val="14"/>
          <w:szCs w:val="14"/>
          <w:color w:val="auto"/>
        </w:rPr>
      </w:pPr>
      <w:r>
        <w:rPr>
          <w:rFonts w:ascii="Arial" w:cs="Arial" w:eastAsia="Arial" w:hAnsi="Arial"/>
          <w:sz w:val="14"/>
          <w:szCs w:val="14"/>
          <w:color w:val="auto"/>
        </w:rPr>
        <w:t>Adjusted Risk-Weighted Assets = Risk-weighted assets - (RWA Intangible assets, excluding goodwill, + RWA Deferred tax assets generated as a result of temporary differences in income tax, in excess of 10% of CET1, + RWA Deferred tax assets generated as a result of past losses)."</w:t>
      </w:r>
    </w:p>
    <w:p>
      <w:pPr>
        <w:ind w:left="280" w:hanging="272"/>
        <w:spacing w:after="0"/>
        <w:tabs>
          <w:tab w:leader="none" w:pos="28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These shares are held by Atlantic Security Holding Corporation (ASHC).</w:t>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Credicorp and subsidiaries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20" w:type="dxa"/>
            <w:vAlign w:val="bottom"/>
            <w:gridSpan w:val="2"/>
          </w:tcPr>
          <w:p>
            <w:pPr>
              <w:spacing w:after="0"/>
              <w:rPr>
                <w:sz w:val="20"/>
                <w:szCs w:val="20"/>
                <w:color w:val="auto"/>
              </w:rPr>
            </w:pPr>
            <w:r>
              <w:rPr>
                <w:rFonts w:ascii="Arial" w:cs="Arial" w:eastAsia="Arial" w:hAnsi="Arial"/>
                <w:sz w:val="13"/>
                <w:szCs w:val="13"/>
                <w:b w:val="1"/>
                <w:bCs w:val="1"/>
                <w:color w:val="auto"/>
              </w:rPr>
              <w:t>Earnings contribution *</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Quarter</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20" w:type="dxa"/>
            <w:vAlign w:val="bottom"/>
            <w:gridSpan w:val="3"/>
          </w:tcPr>
          <w:p>
            <w:pPr>
              <w:ind w:left="140"/>
              <w:spacing w:after="0"/>
              <w:rPr>
                <w:sz w:val="20"/>
                <w:szCs w:val="20"/>
                <w:color w:val="auto"/>
              </w:rPr>
            </w:pPr>
            <w:r>
              <w:rPr>
                <w:rFonts w:ascii="Arial" w:cs="Arial" w:eastAsia="Arial" w:hAnsi="Arial"/>
                <w:sz w:val="13"/>
                <w:szCs w:val="13"/>
                <w:b w:val="1"/>
                <w:bCs w:val="1"/>
                <w:color w:val="auto"/>
              </w:rPr>
              <w:t>% change</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3"/>
          </w:tcPr>
          <w:p>
            <w:pPr>
              <w:ind w:left="880"/>
              <w:spacing w:after="0"/>
              <w:rPr>
                <w:sz w:val="20"/>
                <w:szCs w:val="20"/>
                <w:color w:val="auto"/>
              </w:rPr>
            </w:pPr>
            <w:r>
              <w:rPr>
                <w:rFonts w:ascii="Arial" w:cs="Arial" w:eastAsia="Arial" w:hAnsi="Arial"/>
                <w:sz w:val="13"/>
                <w:szCs w:val="13"/>
                <w:b w:val="1"/>
                <w:bCs w:val="1"/>
                <w:color w:val="auto"/>
              </w:rPr>
              <w:t>YTD</w:t>
            </w: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jc w:val="right"/>
              <w:ind w:right="257"/>
              <w:spacing w:after="0"/>
              <w:rPr>
                <w:sz w:val="20"/>
                <w:szCs w:val="20"/>
                <w:color w:val="auto"/>
              </w:rPr>
            </w:pPr>
            <w:r>
              <w:rPr>
                <w:rFonts w:ascii="Arial" w:cs="Arial" w:eastAsia="Arial" w:hAnsi="Arial"/>
                <w:sz w:val="13"/>
                <w:szCs w:val="13"/>
                <w:b w:val="1"/>
                <w:bCs w:val="1"/>
                <w:color w:val="auto"/>
              </w:rPr>
              <w:t>% change</w:t>
            </w:r>
          </w:p>
        </w:tc>
      </w:tr>
      <w:tr>
        <w:trPr>
          <w:trHeight w:val="153"/>
        </w:trPr>
        <w:tc>
          <w:tcPr>
            <w:tcW w:w="2420" w:type="dxa"/>
            <w:vAlign w:val="bottom"/>
            <w:gridSpan w:val="2"/>
          </w:tcPr>
          <w:p>
            <w:pPr>
              <w:spacing w:after="0"/>
              <w:rPr>
                <w:sz w:val="20"/>
                <w:szCs w:val="20"/>
                <w:color w:val="auto"/>
              </w:rPr>
            </w:pPr>
            <w:r>
              <w:rPr>
                <w:rFonts w:ascii="Arial" w:cs="Arial" w:eastAsia="Arial" w:hAnsi="Arial"/>
                <w:sz w:val="13"/>
                <w:szCs w:val="13"/>
                <w:b w:val="1"/>
                <w:bCs w:val="1"/>
                <w:color w:val="auto"/>
              </w:rPr>
              <w:t>S/ 000</w:t>
            </w:r>
          </w:p>
        </w:tc>
        <w:tc>
          <w:tcPr>
            <w:tcW w:w="116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3Q18</w:t>
            </w:r>
          </w:p>
        </w:tc>
        <w:tc>
          <w:tcPr>
            <w:tcW w:w="114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2Q19</w:t>
            </w:r>
          </w:p>
        </w:tc>
        <w:tc>
          <w:tcPr>
            <w:tcW w:w="112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3Q19</w:t>
            </w:r>
          </w:p>
        </w:tc>
        <w:tc>
          <w:tcPr>
            <w:tcW w:w="620" w:type="dxa"/>
            <w:vAlign w:val="bottom"/>
          </w:tcPr>
          <w:p>
            <w:pPr>
              <w:ind w:left="320"/>
              <w:spacing w:after="0"/>
              <w:rPr>
                <w:sz w:val="20"/>
                <w:szCs w:val="20"/>
                <w:color w:val="auto"/>
              </w:rPr>
            </w:pPr>
            <w:r>
              <w:rPr>
                <w:rFonts w:ascii="Arial" w:cs="Arial" w:eastAsia="Arial" w:hAnsi="Arial"/>
                <w:sz w:val="13"/>
                <w:szCs w:val="13"/>
                <w:b w:val="1"/>
                <w:bCs w:val="1"/>
                <w:color w:val="auto"/>
                <w:w w:val="99"/>
              </w:rPr>
              <w:t>QoQ</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ind w:left="320"/>
              <w:spacing w:after="0"/>
              <w:rPr>
                <w:sz w:val="20"/>
                <w:szCs w:val="20"/>
                <w:color w:val="auto"/>
              </w:rPr>
            </w:pPr>
            <w:r>
              <w:rPr>
                <w:rFonts w:ascii="Arial" w:cs="Arial" w:eastAsia="Arial" w:hAnsi="Arial"/>
                <w:sz w:val="13"/>
                <w:szCs w:val="13"/>
                <w:b w:val="1"/>
                <w:bCs w:val="1"/>
                <w:color w:val="auto"/>
                <w:w w:val="94"/>
              </w:rPr>
              <w:t>YoY</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3"/>
          </w:tcPr>
          <w:p>
            <w:pPr>
              <w:ind w:left="280"/>
              <w:spacing w:after="0"/>
              <w:rPr>
                <w:sz w:val="20"/>
                <w:szCs w:val="20"/>
                <w:color w:val="auto"/>
              </w:rPr>
            </w:pPr>
            <w:r>
              <w:rPr>
                <w:rFonts w:ascii="Arial" w:cs="Arial" w:eastAsia="Arial" w:hAnsi="Arial"/>
                <w:sz w:val="13"/>
                <w:szCs w:val="13"/>
                <w:b w:val="1"/>
                <w:bCs w:val="1"/>
                <w:color w:val="auto"/>
              </w:rPr>
              <w:t>Sep 18</w:t>
            </w:r>
          </w:p>
        </w:tc>
        <w:tc>
          <w:tcPr>
            <w:tcW w:w="98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Sep 19</w:t>
            </w:r>
          </w:p>
        </w:tc>
        <w:tc>
          <w:tcPr>
            <w:tcW w:w="1040" w:type="dxa"/>
            <w:vAlign w:val="bottom"/>
            <w:gridSpan w:val="2"/>
          </w:tcPr>
          <w:p>
            <w:pPr>
              <w:jc w:val="right"/>
              <w:ind w:right="117"/>
              <w:spacing w:after="0"/>
              <w:rPr>
                <w:sz w:val="20"/>
                <w:szCs w:val="20"/>
                <w:color w:val="auto"/>
              </w:rPr>
            </w:pPr>
            <w:r>
              <w:rPr>
                <w:rFonts w:ascii="Arial" w:cs="Arial" w:eastAsia="Arial" w:hAnsi="Arial"/>
                <w:sz w:val="13"/>
                <w:szCs w:val="13"/>
                <w:b w:val="1"/>
                <w:bCs w:val="1"/>
                <w:color w:val="auto"/>
                <w:w w:val="88"/>
              </w:rPr>
              <w:t>Sep 19 / Sep 18</w:t>
            </w:r>
          </w:p>
        </w:tc>
      </w:tr>
      <w:tr>
        <w:trPr>
          <w:trHeight w:val="129"/>
        </w:trPr>
        <w:tc>
          <w:tcPr>
            <w:tcW w:w="21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Universal Banking</w:t>
            </w:r>
          </w:p>
        </w:tc>
        <w:tc>
          <w:tcPr>
            <w:tcW w:w="24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r>
      <w:tr>
        <w:trPr>
          <w:trHeight w:val="135"/>
        </w:trPr>
        <w:tc>
          <w:tcPr>
            <w:tcW w:w="2420" w:type="dxa"/>
            <w:vAlign w:val="bottom"/>
            <w:gridSpan w:val="2"/>
          </w:tcPr>
          <w:p>
            <w:pPr>
              <w:spacing w:after="0" w:line="135" w:lineRule="exact"/>
              <w:rPr>
                <w:sz w:val="20"/>
                <w:szCs w:val="20"/>
                <w:color w:val="auto"/>
              </w:rPr>
            </w:pPr>
            <w:r>
              <w:rPr>
                <w:rFonts w:ascii="Arial" w:cs="Arial" w:eastAsia="Arial" w:hAnsi="Arial"/>
                <w:sz w:val="13"/>
                <w:szCs w:val="13"/>
                <w:color w:val="auto"/>
              </w:rPr>
              <w:t>BCP Stand-alone</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712,427</w:t>
            </w:r>
          </w:p>
        </w:tc>
        <w:tc>
          <w:tcPr>
            <w:tcW w:w="240" w:type="dxa"/>
            <w:vAlign w:val="bottom"/>
          </w:tcPr>
          <w:p>
            <w:pPr>
              <w:spacing w:after="0"/>
              <w:rPr>
                <w:sz w:val="11"/>
                <w:szCs w:val="11"/>
                <w:color w:val="auto"/>
              </w:rPr>
            </w:pPr>
          </w:p>
        </w:tc>
        <w:tc>
          <w:tcPr>
            <w:tcW w:w="11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790,383</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831,423</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5.2%</w:t>
            </w:r>
          </w:p>
        </w:tc>
        <w:tc>
          <w:tcPr>
            <w:tcW w:w="580" w:type="dxa"/>
            <w:vAlign w:val="bottom"/>
          </w:tcPr>
          <w:p>
            <w:pPr>
              <w:spacing w:after="0"/>
              <w:rPr>
                <w:sz w:val="11"/>
                <w:szCs w:val="11"/>
                <w:color w:val="auto"/>
              </w:rPr>
            </w:pPr>
          </w:p>
        </w:tc>
        <w:tc>
          <w:tcPr>
            <w:tcW w:w="56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16.7%</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2,163,603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2,437,771</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12.7%</w:t>
            </w:r>
          </w:p>
        </w:tc>
      </w:tr>
      <w:tr>
        <w:trPr>
          <w:trHeight w:val="135"/>
        </w:trPr>
        <w:tc>
          <w:tcPr>
            <w:tcW w:w="2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BCP Bolivia</w:t>
            </w:r>
          </w:p>
        </w:tc>
        <w:tc>
          <w:tcPr>
            <w:tcW w:w="11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15,360</w:t>
            </w:r>
          </w:p>
        </w:tc>
        <w:tc>
          <w:tcPr>
            <w:tcW w:w="11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26,806</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25,575</w:t>
            </w:r>
          </w:p>
        </w:tc>
        <w:tc>
          <w:tcPr>
            <w:tcW w:w="6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-4.6%</w:t>
            </w:r>
          </w:p>
        </w:tc>
        <w:tc>
          <w:tcPr>
            <w:tcW w:w="5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66.5%</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55,384</w:t>
            </w: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65,021</w:t>
            </w:r>
          </w:p>
        </w:tc>
        <w:tc>
          <w:tcPr>
            <w:tcW w:w="10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17.4%</w:t>
            </w:r>
          </w:p>
        </w:tc>
      </w:tr>
      <w:tr>
        <w:trPr>
          <w:trHeight w:val="135"/>
        </w:trPr>
        <w:tc>
          <w:tcPr>
            <w:tcW w:w="242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Microfinance</w:t>
            </w: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76"/>
        </w:trPr>
        <w:tc>
          <w:tcPr>
            <w:tcW w:w="242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 xml:space="preserve">Mibanco </w:t>
            </w:r>
            <w:r>
              <w:rPr>
                <w:rFonts w:ascii="Arial" w:cs="Arial" w:eastAsia="Arial" w:hAnsi="Arial"/>
                <w:sz w:val="20"/>
                <w:szCs w:val="20"/>
                <w:color w:val="auto"/>
                <w:vertAlign w:val="superscript"/>
              </w:rPr>
              <w:t>(1)</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102,426</w:t>
            </w:r>
          </w:p>
        </w:tc>
        <w:tc>
          <w:tcPr>
            <w:tcW w:w="2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96,906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95,137</w:t>
            </w:r>
          </w:p>
        </w:tc>
        <w:tc>
          <w:tcPr>
            <w:tcW w:w="6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-1.8%</w:t>
            </w:r>
          </w:p>
        </w:tc>
        <w:tc>
          <w:tcPr>
            <w:tcW w:w="5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-7.1%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345,391</w:t>
            </w: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291,654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-15.6%</w:t>
            </w:r>
          </w:p>
        </w:tc>
      </w:tr>
      <w:tr>
        <w:trPr>
          <w:trHeight w:val="135"/>
        </w:trPr>
        <w:tc>
          <w:tcPr>
            <w:tcW w:w="2420" w:type="dxa"/>
            <w:vAlign w:val="bottom"/>
            <w:gridSpan w:val="2"/>
          </w:tcPr>
          <w:p>
            <w:pPr>
              <w:spacing w:after="0" w:line="135" w:lineRule="exact"/>
              <w:rPr>
                <w:sz w:val="20"/>
                <w:szCs w:val="20"/>
                <w:color w:val="auto"/>
              </w:rPr>
            </w:pPr>
            <w:r>
              <w:rPr>
                <w:rFonts w:ascii="Arial" w:cs="Arial" w:eastAsia="Arial" w:hAnsi="Arial"/>
                <w:sz w:val="13"/>
                <w:szCs w:val="13"/>
                <w:color w:val="auto"/>
              </w:rPr>
              <w:t>Encumbra</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1,310</w:t>
            </w:r>
          </w:p>
        </w:tc>
        <w:tc>
          <w:tcPr>
            <w:tcW w:w="240" w:type="dxa"/>
            <w:vAlign w:val="bottom"/>
          </w:tcPr>
          <w:p>
            <w:pPr>
              <w:spacing w:after="0"/>
              <w:rPr>
                <w:sz w:val="11"/>
                <w:szCs w:val="11"/>
                <w:color w:val="auto"/>
              </w:rPr>
            </w:pPr>
          </w:p>
        </w:tc>
        <w:tc>
          <w:tcPr>
            <w:tcW w:w="11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1,263</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852</w:t>
            </w:r>
          </w:p>
        </w:tc>
        <w:tc>
          <w:tcPr>
            <w:tcW w:w="620" w:type="dxa"/>
            <w:vAlign w:val="bottom"/>
          </w:tcPr>
          <w:p>
            <w:pPr>
              <w:spacing w:after="0"/>
              <w:rPr>
                <w:sz w:val="11"/>
                <w:szCs w:val="11"/>
                <w:color w:val="auto"/>
              </w:rPr>
            </w:pPr>
          </w:p>
        </w:tc>
        <w:tc>
          <w:tcPr>
            <w:tcW w:w="54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w w:val="92"/>
              </w:rPr>
              <w:t>-32.5%</w:t>
            </w:r>
          </w:p>
        </w:tc>
        <w:tc>
          <w:tcPr>
            <w:tcW w:w="580" w:type="dxa"/>
            <w:vAlign w:val="bottom"/>
          </w:tcPr>
          <w:p>
            <w:pPr>
              <w:spacing w:after="0"/>
              <w:rPr>
                <w:sz w:val="11"/>
                <w:szCs w:val="11"/>
                <w:color w:val="auto"/>
              </w:rPr>
            </w:pPr>
          </w:p>
        </w:tc>
        <w:tc>
          <w:tcPr>
            <w:tcW w:w="56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w w:val="97"/>
              </w:rPr>
              <w:t>-35.0%</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3,171</w:t>
            </w:r>
          </w:p>
        </w:tc>
        <w:tc>
          <w:tcPr>
            <w:tcW w:w="140" w:type="dxa"/>
            <w:vAlign w:val="bottom"/>
          </w:tcPr>
          <w:p>
            <w:pPr>
              <w:spacing w:after="0"/>
              <w:rPr>
                <w:sz w:val="11"/>
                <w:szCs w:val="11"/>
                <w:color w:val="auto"/>
              </w:rPr>
            </w:pP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3,940</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24.3%</w:t>
            </w:r>
          </w:p>
        </w:tc>
      </w:tr>
      <w:tr>
        <w:trPr>
          <w:trHeight w:val="135"/>
        </w:trPr>
        <w:tc>
          <w:tcPr>
            <w:tcW w:w="2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Insurance and Pensions</w:t>
            </w: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76"/>
        </w:trPr>
        <w:tc>
          <w:tcPr>
            <w:tcW w:w="2420" w:type="dxa"/>
            <w:vAlign w:val="bottom"/>
            <w:gridSpan w:val="2"/>
          </w:tcPr>
          <w:p>
            <w:pPr>
              <w:spacing w:after="0" w:line="176" w:lineRule="exact"/>
              <w:rPr>
                <w:sz w:val="20"/>
                <w:szCs w:val="20"/>
                <w:color w:val="auto"/>
              </w:rPr>
            </w:pPr>
            <w:r>
              <w:rPr>
                <w:rFonts w:ascii="Arial" w:cs="Arial" w:eastAsia="Arial" w:hAnsi="Arial"/>
                <w:sz w:val="13"/>
                <w:szCs w:val="13"/>
                <w:color w:val="auto"/>
              </w:rPr>
              <w:t xml:space="preserve">Grupo Pacifico </w:t>
            </w:r>
            <w:r>
              <w:rPr>
                <w:rFonts w:ascii="Arial" w:cs="Arial" w:eastAsia="Arial" w:hAnsi="Arial"/>
                <w:sz w:val="20"/>
                <w:szCs w:val="20"/>
                <w:color w:val="auto"/>
                <w:vertAlign w:val="superscript"/>
              </w:rPr>
              <w:t>(2)</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97,269</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97,133</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88,949</w:t>
            </w:r>
          </w:p>
        </w:tc>
        <w:tc>
          <w:tcPr>
            <w:tcW w:w="620" w:type="dxa"/>
            <w:vAlign w:val="bottom"/>
          </w:tcPr>
          <w:p>
            <w:pPr>
              <w:spacing w:after="0"/>
              <w:rPr>
                <w:sz w:val="15"/>
                <w:szCs w:val="15"/>
                <w:color w:val="auto"/>
              </w:rPr>
            </w:pPr>
          </w:p>
        </w:tc>
        <w:tc>
          <w:tcPr>
            <w:tcW w:w="540" w:type="dxa"/>
            <w:vAlign w:val="bottom"/>
            <w:gridSpan w:val="2"/>
          </w:tcPr>
          <w:p>
            <w:pPr>
              <w:jc w:val="right"/>
              <w:ind w:right="77"/>
              <w:spacing w:after="0"/>
              <w:rPr>
                <w:sz w:val="20"/>
                <w:szCs w:val="20"/>
                <w:color w:val="auto"/>
              </w:rPr>
            </w:pPr>
            <w:r>
              <w:rPr>
                <w:rFonts w:ascii="Arial" w:cs="Arial" w:eastAsia="Arial" w:hAnsi="Arial"/>
                <w:sz w:val="13"/>
                <w:szCs w:val="13"/>
                <w:color w:val="auto"/>
              </w:rPr>
              <w:t>-8.4%</w:t>
            </w:r>
          </w:p>
        </w:tc>
        <w:tc>
          <w:tcPr>
            <w:tcW w:w="580" w:type="dxa"/>
            <w:vAlign w:val="bottom"/>
          </w:tcPr>
          <w:p>
            <w:pPr>
              <w:spacing w:after="0"/>
              <w:rPr>
                <w:sz w:val="15"/>
                <w:szCs w:val="15"/>
                <w:color w:val="auto"/>
              </w:rPr>
            </w:pPr>
          </w:p>
        </w:tc>
        <w:tc>
          <w:tcPr>
            <w:tcW w:w="560" w:type="dxa"/>
            <w:vAlign w:val="bottom"/>
            <w:gridSpan w:val="2"/>
          </w:tcPr>
          <w:p>
            <w:pPr>
              <w:jc w:val="right"/>
              <w:ind w:right="77"/>
              <w:spacing w:after="0"/>
              <w:rPr>
                <w:sz w:val="20"/>
                <w:szCs w:val="20"/>
                <w:color w:val="auto"/>
              </w:rPr>
            </w:pPr>
            <w:r>
              <w:rPr>
                <w:rFonts w:ascii="Arial" w:cs="Arial" w:eastAsia="Arial" w:hAnsi="Arial"/>
                <w:sz w:val="13"/>
                <w:szCs w:val="13"/>
                <w:color w:val="auto"/>
              </w:rPr>
              <w:t>-8.6%</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243,638</w:t>
            </w:r>
          </w:p>
        </w:tc>
        <w:tc>
          <w:tcPr>
            <w:tcW w:w="14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263,239</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8.0%</w:t>
            </w:r>
          </w:p>
        </w:tc>
      </w:tr>
      <w:tr>
        <w:trPr>
          <w:trHeight w:val="135"/>
        </w:trPr>
        <w:tc>
          <w:tcPr>
            <w:tcW w:w="2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Prima AFP</w:t>
            </w:r>
          </w:p>
        </w:tc>
        <w:tc>
          <w:tcPr>
            <w:tcW w:w="11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41,476</w:t>
            </w:r>
          </w:p>
        </w:tc>
        <w:tc>
          <w:tcPr>
            <w:tcW w:w="11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50,367</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42,394</w:t>
            </w:r>
          </w:p>
        </w:tc>
        <w:tc>
          <w:tcPr>
            <w:tcW w:w="6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w w:val="92"/>
              </w:rPr>
              <w:t>-15.8%</w:t>
            </w:r>
          </w:p>
        </w:tc>
        <w:tc>
          <w:tcPr>
            <w:tcW w:w="5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2.2%</w:t>
            </w: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109,115</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149,761</w:t>
            </w:r>
          </w:p>
        </w:tc>
        <w:tc>
          <w:tcPr>
            <w:tcW w:w="10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37.3%</w:t>
            </w:r>
          </w:p>
        </w:tc>
      </w:tr>
      <w:tr>
        <w:trPr>
          <w:trHeight w:val="117"/>
        </w:trPr>
        <w:tc>
          <w:tcPr>
            <w:tcW w:w="2420" w:type="dxa"/>
            <w:vAlign w:val="bottom"/>
            <w:gridSpan w:val="2"/>
          </w:tcPr>
          <w:p>
            <w:pPr>
              <w:spacing w:after="0" w:line="117" w:lineRule="exact"/>
              <w:rPr>
                <w:sz w:val="20"/>
                <w:szCs w:val="20"/>
                <w:color w:val="auto"/>
              </w:rPr>
            </w:pPr>
            <w:r>
              <w:rPr>
                <w:rFonts w:ascii="Arial" w:cs="Arial" w:eastAsia="Arial" w:hAnsi="Arial"/>
                <w:sz w:val="13"/>
                <w:szCs w:val="13"/>
                <w:b w:val="1"/>
                <w:bCs w:val="1"/>
                <w:color w:val="auto"/>
              </w:rPr>
              <w:t>Investment Banking and Wealth</w:t>
            </w: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3"/>
        </w:trPr>
        <w:tc>
          <w:tcPr>
            <w:tcW w:w="2420" w:type="dxa"/>
            <w:vAlign w:val="bottom"/>
            <w:gridSpan w:val="2"/>
          </w:tcPr>
          <w:p>
            <w:pPr>
              <w:spacing w:after="0"/>
              <w:rPr>
                <w:sz w:val="20"/>
                <w:szCs w:val="20"/>
                <w:color w:val="auto"/>
              </w:rPr>
            </w:pPr>
            <w:r>
              <w:rPr>
                <w:rFonts w:ascii="Arial" w:cs="Arial" w:eastAsia="Arial" w:hAnsi="Arial"/>
                <w:sz w:val="13"/>
                <w:szCs w:val="13"/>
                <w:b w:val="1"/>
                <w:bCs w:val="1"/>
                <w:color w:val="auto"/>
              </w:rPr>
              <w:t>Management</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2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Credicorp Capital</w:t>
            </w:r>
          </w:p>
        </w:tc>
        <w:tc>
          <w:tcPr>
            <w:tcW w:w="11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17,770</w:t>
            </w:r>
          </w:p>
        </w:tc>
        <w:tc>
          <w:tcPr>
            <w:tcW w:w="11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10,823</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13,010</w:t>
            </w:r>
          </w:p>
        </w:tc>
        <w:tc>
          <w:tcPr>
            <w:tcW w:w="6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20.2%</w:t>
            </w:r>
          </w:p>
        </w:tc>
        <w:tc>
          <w:tcPr>
            <w:tcW w:w="5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w w:val="97"/>
              </w:rPr>
              <w:t>-26.8%</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49,973</w:t>
            </w: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39,252</w:t>
            </w:r>
          </w:p>
        </w:tc>
        <w:tc>
          <w:tcPr>
            <w:tcW w:w="10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-21.5%</w:t>
            </w:r>
          </w:p>
        </w:tc>
      </w:tr>
      <w:tr>
        <w:trPr>
          <w:trHeight w:val="135"/>
        </w:trPr>
        <w:tc>
          <w:tcPr>
            <w:tcW w:w="2420" w:type="dxa"/>
            <w:vAlign w:val="bottom"/>
            <w:gridSpan w:val="2"/>
          </w:tcPr>
          <w:p>
            <w:pPr>
              <w:spacing w:after="0" w:line="135" w:lineRule="exact"/>
              <w:rPr>
                <w:sz w:val="20"/>
                <w:szCs w:val="20"/>
                <w:color w:val="auto"/>
              </w:rPr>
            </w:pPr>
            <w:r>
              <w:rPr>
                <w:rFonts w:ascii="Arial" w:cs="Arial" w:eastAsia="Arial" w:hAnsi="Arial"/>
                <w:sz w:val="13"/>
                <w:szCs w:val="13"/>
                <w:color w:val="auto"/>
              </w:rPr>
              <w:t>Atlantic Security Bank</w:t>
            </w:r>
          </w:p>
        </w:tc>
        <w:tc>
          <w:tcPr>
            <w:tcW w:w="11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35,089</w:t>
            </w:r>
          </w:p>
        </w:tc>
        <w:tc>
          <w:tcPr>
            <w:tcW w:w="11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50,592</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43,376</w:t>
            </w:r>
          </w:p>
        </w:tc>
        <w:tc>
          <w:tcPr>
            <w:tcW w:w="620" w:type="dxa"/>
            <w:vAlign w:val="bottom"/>
          </w:tcPr>
          <w:p>
            <w:pPr>
              <w:spacing w:after="0"/>
              <w:rPr>
                <w:sz w:val="11"/>
                <w:szCs w:val="11"/>
                <w:color w:val="auto"/>
              </w:rPr>
            </w:pPr>
          </w:p>
        </w:tc>
        <w:tc>
          <w:tcPr>
            <w:tcW w:w="54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w w:val="92"/>
              </w:rPr>
              <w:t>-14.3%</w:t>
            </w:r>
          </w:p>
        </w:tc>
        <w:tc>
          <w:tcPr>
            <w:tcW w:w="580" w:type="dxa"/>
            <w:vAlign w:val="bottom"/>
          </w:tcPr>
          <w:p>
            <w:pPr>
              <w:spacing w:after="0"/>
              <w:rPr>
                <w:sz w:val="11"/>
                <w:szCs w:val="11"/>
                <w:color w:val="auto"/>
              </w:rPr>
            </w:pPr>
          </w:p>
        </w:tc>
        <w:tc>
          <w:tcPr>
            <w:tcW w:w="56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23.6%</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94,894</w:t>
            </w:r>
          </w:p>
        </w:tc>
        <w:tc>
          <w:tcPr>
            <w:tcW w:w="140" w:type="dxa"/>
            <w:vAlign w:val="bottom"/>
          </w:tcPr>
          <w:p>
            <w:pPr>
              <w:spacing w:after="0"/>
              <w:rPr>
                <w:sz w:val="11"/>
                <w:szCs w:val="11"/>
                <w:color w:val="auto"/>
              </w:rPr>
            </w:pP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143,716</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51.4%</w:t>
            </w:r>
          </w:p>
        </w:tc>
      </w:tr>
      <w:tr>
        <w:trPr>
          <w:trHeight w:val="189"/>
        </w:trPr>
        <w:tc>
          <w:tcPr>
            <w:tcW w:w="242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b w:val="1"/>
                <w:bCs w:val="1"/>
                <w:color w:val="auto"/>
              </w:rPr>
              <w:t xml:space="preserve">Others </w:t>
            </w:r>
            <w:r>
              <w:rPr>
                <w:rFonts w:ascii="Arial" w:cs="Arial" w:eastAsia="Arial" w:hAnsi="Arial"/>
                <w:sz w:val="20"/>
                <w:szCs w:val="20"/>
                <w:b w:val="1"/>
                <w:bCs w:val="1"/>
                <w:color w:val="auto"/>
                <w:vertAlign w:val="superscript"/>
              </w:rPr>
              <w:t>(3)</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(11,841)</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(25,700)</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(47,681)</w:t>
            </w:r>
          </w:p>
        </w:tc>
        <w:tc>
          <w:tcPr>
            <w:tcW w:w="6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85.5%</w:t>
            </w:r>
          </w:p>
        </w:tc>
        <w:tc>
          <w:tcPr>
            <w:tcW w:w="5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w w:val="90"/>
              </w:rPr>
              <w:t>302.7%</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(38,237)</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(101,879)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166.4%</w:t>
            </w:r>
          </w:p>
        </w:tc>
      </w:tr>
      <w:tr>
        <w:trPr>
          <w:trHeight w:val="142"/>
        </w:trPr>
        <w:tc>
          <w:tcPr>
            <w:tcW w:w="242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Net income attributed to Credicorp</w:t>
            </w:r>
          </w:p>
        </w:tc>
        <w:tc>
          <w:tcPr>
            <w:tcW w:w="9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1,011,286</w:t>
            </w:r>
          </w:p>
        </w:tc>
        <w:tc>
          <w:tcPr>
            <w:tcW w:w="240" w:type="dxa"/>
            <w:vAlign w:val="bottom"/>
          </w:tcPr>
          <w:p>
            <w:pPr>
              <w:spacing w:after="0"/>
              <w:rPr>
                <w:sz w:val="12"/>
                <w:szCs w:val="12"/>
                <w:color w:val="auto"/>
              </w:rPr>
            </w:pPr>
          </w:p>
        </w:tc>
        <w:tc>
          <w:tcPr>
            <w:tcW w:w="9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1,098,573</w:t>
            </w:r>
          </w:p>
        </w:tc>
        <w:tc>
          <w:tcPr>
            <w:tcW w:w="220" w:type="dxa"/>
            <w:vAlign w:val="bottom"/>
          </w:tcPr>
          <w:p>
            <w:pPr>
              <w:spacing w:after="0"/>
              <w:rPr>
                <w:sz w:val="12"/>
                <w:szCs w:val="12"/>
                <w:color w:val="auto"/>
              </w:rPr>
            </w:pPr>
          </w:p>
        </w:tc>
        <w:tc>
          <w:tcPr>
            <w:tcW w:w="9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1,093,035</w:t>
            </w:r>
          </w:p>
        </w:tc>
        <w:tc>
          <w:tcPr>
            <w:tcW w:w="2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-0.5</w:t>
            </w:r>
          </w:p>
        </w:tc>
        <w:tc>
          <w:tcPr>
            <w:tcW w:w="260" w:type="dxa"/>
            <w:vAlign w:val="bottom"/>
          </w:tcPr>
          <w:p>
            <w:pPr>
              <w:jc w:val="right"/>
              <w:ind w:right="57"/>
              <w:spacing w:after="0" w:line="143" w:lineRule="exact"/>
              <w:rPr>
                <w:sz w:val="20"/>
                <w:szCs w:val="20"/>
                <w:color w:val="auto"/>
              </w:rPr>
            </w:pPr>
            <w:r>
              <w:rPr>
                <w:rFonts w:ascii="Arial" w:cs="Arial" w:eastAsia="Arial" w:hAnsi="Arial"/>
                <w:sz w:val="13"/>
                <w:szCs w:val="13"/>
                <w:b w:val="1"/>
                <w:bCs w:val="1"/>
                <w:color w:val="auto"/>
              </w:rPr>
              <w:t>%</w:t>
            </w:r>
          </w:p>
        </w:tc>
        <w:tc>
          <w:tcPr>
            <w:tcW w:w="5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8.1</w:t>
            </w:r>
          </w:p>
        </w:tc>
        <w:tc>
          <w:tcPr>
            <w:tcW w:w="240" w:type="dxa"/>
            <w:vAlign w:val="bottom"/>
          </w:tcPr>
          <w:p>
            <w:pPr>
              <w:jc w:val="right"/>
              <w:ind w:right="57"/>
              <w:spacing w:after="0" w:line="143" w:lineRule="exact"/>
              <w:rPr>
                <w:sz w:val="20"/>
                <w:szCs w:val="20"/>
                <w:color w:val="auto"/>
              </w:rPr>
            </w:pPr>
            <w:r>
              <w:rPr>
                <w:rFonts w:ascii="Arial" w:cs="Arial" w:eastAsia="Arial" w:hAnsi="Arial"/>
                <w:sz w:val="13"/>
                <w:szCs w:val="13"/>
                <w:b w:val="1"/>
                <w:bCs w:val="1"/>
                <w:color w:val="auto"/>
                <w:w w:val="86"/>
              </w:rPr>
              <w:t>%</w:t>
            </w:r>
          </w:p>
        </w:tc>
        <w:tc>
          <w:tcPr>
            <w:tcW w:w="9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3,026,932</w:t>
            </w: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3,292,475</w:t>
            </w:r>
          </w:p>
        </w:tc>
        <w:tc>
          <w:tcPr>
            <w:tcW w:w="220" w:type="dxa"/>
            <w:vAlign w:val="bottom"/>
          </w:tcPr>
          <w:p>
            <w:pPr>
              <w:spacing w:after="0"/>
              <w:rPr>
                <w:sz w:val="12"/>
                <w:szCs w:val="12"/>
                <w:color w:val="auto"/>
              </w:rPr>
            </w:pPr>
          </w:p>
        </w:tc>
        <w:tc>
          <w:tcPr>
            <w:tcW w:w="9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8.8</w:t>
            </w:r>
          </w:p>
        </w:tc>
        <w:tc>
          <w:tcPr>
            <w:tcW w:w="120" w:type="dxa"/>
            <w:vAlign w:val="bottom"/>
          </w:tcPr>
          <w:p>
            <w:pPr>
              <w:jc w:val="right"/>
              <w:spacing w:after="0" w:line="143" w:lineRule="exact"/>
              <w:rPr>
                <w:sz w:val="20"/>
                <w:szCs w:val="20"/>
                <w:color w:val="auto"/>
              </w:rPr>
            </w:pPr>
            <w:r>
              <w:rPr>
                <w:rFonts w:ascii="Arial" w:cs="Arial" w:eastAsia="Arial" w:hAnsi="Arial"/>
                <w:sz w:val="13"/>
                <w:szCs w:val="13"/>
                <w:b w:val="1"/>
                <w:bCs w:val="1"/>
                <w:color w:val="auto"/>
                <w:w w:val="86"/>
              </w:rPr>
              <w:t>%</w:t>
            </w:r>
          </w:p>
        </w:tc>
      </w:tr>
      <w:tr>
        <w:trPr>
          <w:trHeight w:val="20"/>
        </w:trPr>
        <w:tc>
          <w:tcPr>
            <w:tcW w:w="2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3"/>
          <w:szCs w:val="13"/>
          <w:color w:val="auto"/>
        </w:rPr>
        <w:t>*Contributions to Credicorp reflect the eliminations for consolidation purposes (e.g. eliminations for transactions among Credicorp’s subsidiaries or between Credicorp and its subsidiaries).</w:t>
      </w:r>
    </w:p>
    <w:p>
      <w:pPr>
        <w:ind w:left="180" w:hanging="172"/>
        <w:spacing w:after="0" w:line="2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figure is lower than the net income of Mibanco because Credicorp owns 99.921% of Mibanco (directly and indirectly).</w:t>
      </w:r>
    </w:p>
    <w:p>
      <w:pPr>
        <w:ind w:left="180" w:hanging="172"/>
        <w:spacing w:after="0" w:line="2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contribution is higher than Grupo Pacifico’s net income because Credicorp owns 65.20% directly, and 33.59% through Grupo Credito.</w:t>
      </w:r>
    </w:p>
    <w:p>
      <w:pPr>
        <w:ind w:left="180" w:hanging="172"/>
        <w:spacing w:after="0"/>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Includes Grupo Credito excluding Prima (Servicorp and Emisiones BCP Latam), others of Atlantic Security Holding Corporation and others of Credicorp Ltd.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Quarter</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3"/>
          </w:tcPr>
          <w:p>
            <w:pPr>
              <w:ind w:left="700"/>
              <w:spacing w:after="0"/>
              <w:rPr>
                <w:sz w:val="20"/>
                <w:szCs w:val="20"/>
                <w:color w:val="auto"/>
              </w:rPr>
            </w:pPr>
            <w:r>
              <w:rPr>
                <w:rFonts w:ascii="Arial" w:cs="Arial" w:eastAsia="Arial" w:hAnsi="Arial"/>
                <w:sz w:val="18"/>
                <w:szCs w:val="18"/>
                <w:b w:val="1"/>
                <w:bCs w:val="1"/>
                <w:color w:val="auto"/>
              </w:rPr>
              <w:t>YTD</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840" w:type="dxa"/>
            <w:vAlign w:val="bottom"/>
            <w:gridSpan w:val="2"/>
          </w:tcPr>
          <w:p>
            <w:pPr>
              <w:ind w:left="1580"/>
              <w:spacing w:after="0"/>
              <w:rPr>
                <w:sz w:val="20"/>
                <w:szCs w:val="20"/>
                <w:color w:val="auto"/>
              </w:rPr>
            </w:pPr>
            <w:r>
              <w:rPr>
                <w:rFonts w:ascii="Arial" w:cs="Arial" w:eastAsia="Arial" w:hAnsi="Arial"/>
                <w:sz w:val="18"/>
                <w:szCs w:val="18"/>
                <w:b w:val="1"/>
                <w:bCs w:val="1"/>
                <w:color w:val="auto"/>
              </w:rPr>
              <w:t>ROAE</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3Q18</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2Q19</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3Q19</w:t>
            </w:r>
          </w:p>
        </w:tc>
        <w:tc>
          <w:tcPr>
            <w:tcW w:w="1120" w:type="dxa"/>
            <w:vAlign w:val="bottom"/>
            <w:gridSpan w:val="3"/>
          </w:tcPr>
          <w:p>
            <w:pPr>
              <w:ind w:left="120"/>
              <w:spacing w:after="0"/>
              <w:rPr>
                <w:sz w:val="20"/>
                <w:szCs w:val="20"/>
                <w:color w:val="auto"/>
              </w:rPr>
            </w:pPr>
            <w:r>
              <w:rPr>
                <w:rFonts w:ascii="Arial" w:cs="Arial" w:eastAsia="Arial" w:hAnsi="Arial"/>
                <w:sz w:val="18"/>
                <w:szCs w:val="18"/>
                <w:b w:val="1"/>
                <w:bCs w:val="1"/>
                <w:color w:val="auto"/>
              </w:rPr>
              <w:t>Sep 18</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9"/>
              </w:rPr>
              <w:t>Sep 19</w:t>
            </w:r>
          </w:p>
        </w:tc>
        <w:tc>
          <w:tcPr>
            <w:tcW w:w="0" w:type="dxa"/>
            <w:vAlign w:val="bottom"/>
          </w:tcPr>
          <w:p>
            <w:pPr>
              <w:spacing w:after="0"/>
              <w:rPr>
                <w:sz w:val="1"/>
                <w:szCs w:val="1"/>
                <w:color w:val="auto"/>
              </w:rPr>
            </w:pPr>
          </w:p>
        </w:tc>
      </w:tr>
      <w:tr>
        <w:trPr>
          <w:trHeight w:val="210"/>
        </w:trPr>
        <w:tc>
          <w:tcPr>
            <w:tcW w:w="3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Universal Banking</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BCP Stand-alone</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21.0%</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21.5%</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21.7%</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BCP Bolivia</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Microfinance</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8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Mibanco </w:t>
            </w:r>
            <w:r>
              <w:rPr>
                <w:rFonts w:ascii="Arial" w:cs="Arial" w:eastAsia="Arial" w:hAnsi="Arial"/>
                <w:sz w:val="29"/>
                <w:szCs w:val="29"/>
                <w:color w:val="auto"/>
                <w:vertAlign w:val="superscript"/>
              </w:rPr>
              <w:t>(1)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Encumbra</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8.9%</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8.4%</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5.8%</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Insurance and Pensions</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8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Grupo Pacifico </w:t>
            </w:r>
            <w:r>
              <w:rPr>
                <w:rFonts w:ascii="Arial" w:cs="Arial" w:eastAsia="Arial" w:hAnsi="Arial"/>
                <w:sz w:val="29"/>
                <w:szCs w:val="29"/>
                <w:color w:val="auto"/>
                <w:vertAlign w:val="superscript"/>
              </w:rPr>
              <w:t>(2)</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15.4%</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13.6%</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11.0%</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2"/>
                <w:szCs w:val="22"/>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Prima</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w w:val="98"/>
              </w:rPr>
              <w:t>Investment Banking and Wealth Management</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Credicorp Capital</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Atlantic Security Bank</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18.6%</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25.7%</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20.3%</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
        </w:trPr>
        <w:tc>
          <w:tcPr>
            <w:tcW w:w="38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Credicorp</w:t>
            </w: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gridSpan w:val="2"/>
            <w:vMerge w:val="continue"/>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18.0%</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18.0%</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17.1%</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18.0%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
        <w:spacing w:after="0" w:line="258" w:lineRule="auto"/>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ROAE including goodwill of BCP from the acquisition of Edyficar (Approximately US$ 50.7 million) was 20.8% in 3Q18, 18.6% in 2Q19 and 17.5% in 3Q19. YTD was 24.7% for September 2018 and 18.4% for September 2019.</w:t>
      </w:r>
    </w:p>
    <w:p>
      <w:pPr>
        <w:spacing w:after="0" w:line="1" w:lineRule="exact"/>
        <w:rPr>
          <w:rFonts w:ascii="Arial" w:cs="Arial" w:eastAsia="Arial" w:hAnsi="Arial"/>
          <w:sz w:val="18"/>
          <w:szCs w:val="18"/>
          <w:color w:val="auto"/>
        </w:rPr>
      </w:pPr>
    </w:p>
    <w:p>
      <w:pPr>
        <w:ind w:firstLine="8"/>
        <w:spacing w:after="0" w:line="323" w:lineRule="auto"/>
        <w:tabs>
          <w:tab w:leader="none" w:pos="267" w:val="left"/>
        </w:tabs>
        <w:numPr>
          <w:ilvl w:val="0"/>
          <w:numId w:val="4"/>
        </w:numPr>
        <w:rPr>
          <w:rFonts w:ascii="Arial" w:cs="Arial" w:eastAsia="Arial" w:hAnsi="Arial"/>
          <w:sz w:val="16"/>
          <w:szCs w:val="16"/>
          <w:color w:val="auto"/>
        </w:rPr>
      </w:pPr>
      <w:r>
        <w:rPr>
          <w:rFonts w:ascii="Arial" w:cs="Arial" w:eastAsia="Arial" w:hAnsi="Arial"/>
          <w:sz w:val="16"/>
          <w:szCs w:val="16"/>
          <w:color w:val="auto"/>
        </w:rPr>
        <w:t>Figures include unrealized gains or losses that are considered in Pacifico’s Net Equity from the investment portfolio of Pacifico Vida. ROAE excluding such unrealized gains was 18.7% in 3Q18, 18.6% in 2Q19 and 16.3% in 3Q19." YTD was 15.3% for September 2018 and 15.7% for September 2019.</w:t>
      </w:r>
    </w:p>
    <w:p>
      <w:pPr>
        <w:spacing w:after="0" w:line="3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1. Interest-earning assets (IEA)</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At the end of September 2019, the IEAs registered growth of +2.8% QoQ. This was primarily attributable to an increase in loans and available funds. The YoY evolution, which eliminates the effects of seasonality on loans, posted growth of+10.1% YoY in IEAs, which was due primarily to growth in loans and available funds and, to a lesser extent, to an increase in investments. Loans, our most profitable assets, registered growth of +2.0% QoQ and +7.0% YoY in average daily loan balances, which was mainly attributable to expansion in BCP Stand-alone’s portfolios, where the increase in Retail Banking was particularly noteworthy. Expansion was also associated, although to a lesser extent, with growth in Wholesale Banking.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As of</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3"/>
          </w:tcPr>
          <w:p>
            <w:pPr>
              <w:ind w:left="780"/>
              <w:spacing w:after="0"/>
              <w:rPr>
                <w:sz w:val="20"/>
                <w:szCs w:val="20"/>
                <w:color w:val="auto"/>
              </w:rPr>
            </w:pPr>
            <w:r>
              <w:rPr>
                <w:rFonts w:ascii="Arial" w:cs="Arial" w:eastAsia="Arial" w:hAnsi="Arial"/>
                <w:sz w:val="18"/>
                <w:szCs w:val="18"/>
                <w:b w:val="1"/>
                <w:bCs w:val="1"/>
                <w:color w:val="auto"/>
                <w:w w:val="95"/>
              </w:rPr>
              <w:t>% change</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2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Sep 18</w:t>
            </w: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Jun 19</w:t>
            </w:r>
          </w:p>
        </w:tc>
        <w:tc>
          <w:tcPr>
            <w:tcW w:w="2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Sep 19</w:t>
            </w:r>
          </w:p>
        </w:tc>
        <w:tc>
          <w:tcPr>
            <w:tcW w:w="2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00" w:type="dxa"/>
            <w:vAlign w:val="bottom"/>
            <w:shd w:val="clear" w:color="auto" w:fill="CCEEFF"/>
          </w:tcPr>
          <w:p>
            <w:pPr>
              <w:spacing w:after="0" w:line="251" w:lineRule="exact"/>
              <w:rPr>
                <w:sz w:val="20"/>
                <w:szCs w:val="20"/>
                <w:color w:val="auto"/>
              </w:rPr>
            </w:pPr>
            <w:r>
              <w:rPr>
                <w:rFonts w:ascii="Arial" w:cs="Arial" w:eastAsia="Arial" w:hAnsi="Arial"/>
                <w:sz w:val="18"/>
                <w:szCs w:val="18"/>
                <w:color w:val="auto"/>
              </w:rPr>
              <w:t xml:space="preserve">Cash and due from banks </w:t>
            </w:r>
            <w:r>
              <w:rPr>
                <w:rFonts w:ascii="Arial" w:cs="Arial" w:eastAsia="Arial" w:hAnsi="Arial"/>
                <w:sz w:val="29"/>
                <w:szCs w:val="29"/>
                <w:color w:val="auto"/>
                <w:vertAlign w:val="superscript"/>
              </w:rPr>
              <w:t>(1)</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13,068,539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17,298,234</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20,004,002</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w:t>
            </w:r>
          </w:p>
        </w:tc>
        <w:tc>
          <w:tcPr>
            <w:tcW w:w="2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Interbank funds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357,910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190,415</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254,175</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33.5%</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57"/>
        </w:trPr>
        <w:tc>
          <w:tcPr>
            <w:tcW w:w="52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Total investments </w:t>
            </w:r>
            <w:r>
              <w:rPr>
                <w:rFonts w:ascii="Arial" w:cs="Arial" w:eastAsia="Arial" w:hAnsi="Arial"/>
                <w:sz w:val="29"/>
                <w:szCs w:val="29"/>
                <w:color w:val="auto"/>
                <w:vertAlign w:val="superscript"/>
              </w:rPr>
              <w:t>(2)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31,773,217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34,414,427</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33,956,227</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2"/>
        </w:trPr>
        <w:tc>
          <w:tcPr>
            <w:tcW w:w="5220" w:type="dxa"/>
            <w:vAlign w:val="bottom"/>
            <w:gridSpan w:val="2"/>
          </w:tcPr>
          <w:p>
            <w:pPr>
              <w:spacing w:after="0" w:line="201" w:lineRule="exact"/>
              <w:rPr>
                <w:sz w:val="20"/>
                <w:szCs w:val="20"/>
                <w:color w:val="auto"/>
              </w:rPr>
            </w:pPr>
            <w:r>
              <w:rPr>
                <w:rFonts w:ascii="Arial" w:cs="Arial" w:eastAsia="Arial" w:hAnsi="Arial"/>
                <w:sz w:val="18"/>
                <w:szCs w:val="18"/>
                <w:color w:val="auto"/>
              </w:rPr>
              <w:t>Cash collateral, reverse repurchase agreements and securities</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20" w:type="dxa"/>
            <w:vAlign w:val="bottom"/>
            <w:gridSpan w:val="2"/>
          </w:tcPr>
          <w:p>
            <w:pPr>
              <w:spacing w:after="0"/>
              <w:rPr>
                <w:sz w:val="20"/>
                <w:szCs w:val="20"/>
                <w:color w:val="auto"/>
              </w:rPr>
            </w:pPr>
            <w:r>
              <w:rPr>
                <w:rFonts w:ascii="Arial" w:cs="Arial" w:eastAsia="Arial" w:hAnsi="Arial"/>
                <w:sz w:val="18"/>
                <w:szCs w:val="18"/>
                <w:color w:val="auto"/>
              </w:rPr>
              <w:t>borrowing</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4,447,783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4,445,749</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3,903,051</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-12.2%</w:t>
            </w:r>
          </w:p>
        </w:tc>
        <w:tc>
          <w:tcPr>
            <w:tcW w:w="28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57"/>
        </w:trPr>
        <w:tc>
          <w:tcPr>
            <w:tcW w:w="52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Financial assets designated at fair value through profit or loss </w:t>
            </w:r>
            <w:r>
              <w:rPr>
                <w:rFonts w:ascii="Arial" w:cs="Arial" w:eastAsia="Arial" w:hAnsi="Arial"/>
                <w:sz w:val="29"/>
                <w:szCs w:val="29"/>
                <w:color w:val="auto"/>
                <w:vertAlign w:val="superscript"/>
              </w:rPr>
              <w:t>(2)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572,872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588,074</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617,387</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57"/>
        </w:trPr>
        <w:tc>
          <w:tcPr>
            <w:tcW w:w="52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Total loans </w:t>
            </w:r>
            <w:r>
              <w:rPr>
                <w:rFonts w:ascii="Arial" w:cs="Arial" w:eastAsia="Arial" w:hAnsi="Arial"/>
                <w:sz w:val="29"/>
                <w:szCs w:val="29"/>
                <w:color w:val="auto"/>
                <w:vertAlign w:val="superscript"/>
              </w:rPr>
              <w:t>(3)</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105,028,343</w:t>
            </w:r>
          </w:p>
        </w:tc>
        <w:tc>
          <w:tcPr>
            <w:tcW w:w="2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109,381,123</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112,209,990</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22"/>
                <w:szCs w:val="22"/>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52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interest earning assets</w:t>
            </w:r>
          </w:p>
        </w:tc>
        <w:tc>
          <w:tcPr>
            <w:tcW w:w="10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gridSpan w:val="2"/>
            <w:vMerge w:val="continue"/>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155,248,664</w:t>
            </w:r>
          </w:p>
        </w:tc>
        <w:tc>
          <w:tcPr>
            <w:tcW w:w="22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166,318,022</w:t>
            </w:r>
          </w:p>
        </w:tc>
        <w:tc>
          <w:tcPr>
            <w:tcW w:w="220" w:type="dxa"/>
            <w:vAlign w:val="bottom"/>
            <w:vMerge w:val="continue"/>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170,944,832</w:t>
            </w:r>
          </w:p>
        </w:tc>
        <w:tc>
          <w:tcPr>
            <w:tcW w:w="200" w:type="dxa"/>
            <w:vAlign w:val="bottom"/>
            <w:vMerge w:val="continue"/>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2.8%</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
        <w:spacing w:after="0" w:line="274" w:lineRule="auto"/>
        <w:tabs>
          <w:tab w:leader="none" w:pos="268"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amounts differ from those previously reported due to the reclassification to the item "Cash collateral, reverse repurchase agreements and securities borrowing" mainly for the cash collateral in dollars delivered to the BCRP, previously presented in the item "Cash and due from banks".</w:t>
      </w: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figures differ from those previously reported due to the opening of "Financial assets designated at fair value through profit or loss".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Quarter-end balances.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Total Investments</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280"/>
              <w:spacing w:after="0"/>
              <w:rPr>
                <w:sz w:val="20"/>
                <w:szCs w:val="20"/>
                <w:color w:val="auto"/>
              </w:rPr>
            </w:pPr>
            <w:r>
              <w:rPr>
                <w:rFonts w:ascii="Arial" w:cs="Arial" w:eastAsia="Arial" w:hAnsi="Arial"/>
                <w:sz w:val="18"/>
                <w:szCs w:val="18"/>
                <w:b w:val="1"/>
                <w:bCs w:val="1"/>
                <w:color w:val="auto"/>
              </w:rPr>
              <w:t>As of</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3"/>
          </w:tcPr>
          <w:p>
            <w:pPr>
              <w:ind w:left="700"/>
              <w:spacing w:after="0"/>
              <w:rPr>
                <w:sz w:val="20"/>
                <w:szCs w:val="20"/>
                <w:color w:val="auto"/>
              </w:rPr>
            </w:pPr>
            <w:r>
              <w:rPr>
                <w:rFonts w:ascii="Arial" w:cs="Arial" w:eastAsia="Arial" w:hAnsi="Arial"/>
                <w:sz w:val="18"/>
                <w:szCs w:val="18"/>
                <w:b w:val="1"/>
                <w:bCs w:val="1"/>
                <w:color w:val="auto"/>
                <w:w w:val="92"/>
              </w:rPr>
              <w:t>% change</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2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Sep 18</w:t>
            </w:r>
          </w:p>
        </w:tc>
        <w:tc>
          <w:tcPr>
            <w:tcW w:w="18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Jun 19</w:t>
            </w:r>
          </w:p>
        </w:tc>
        <w:tc>
          <w:tcPr>
            <w:tcW w:w="18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Sep 19</w:t>
            </w:r>
          </w:p>
        </w:tc>
        <w:tc>
          <w:tcPr>
            <w:tcW w:w="18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600" w:type="dxa"/>
            <w:vAlign w:val="bottom"/>
            <w:shd w:val="clear" w:color="auto" w:fill="CCEEFF"/>
          </w:tcPr>
          <w:p>
            <w:pPr>
              <w:spacing w:after="0" w:line="251" w:lineRule="exact"/>
              <w:rPr>
                <w:sz w:val="20"/>
                <w:szCs w:val="20"/>
                <w:color w:val="auto"/>
              </w:rPr>
            </w:pPr>
            <w:r>
              <w:rPr>
                <w:rFonts w:ascii="Arial" w:cs="Arial" w:eastAsia="Arial" w:hAnsi="Arial"/>
                <w:sz w:val="18"/>
                <w:szCs w:val="18"/>
                <w:color w:val="auto"/>
              </w:rPr>
              <w:t xml:space="preserve">Fair value through profit or loss investments </w:t>
            </w:r>
            <w:r>
              <w:rPr>
                <w:rFonts w:ascii="Arial" w:cs="Arial" w:eastAsia="Arial" w:hAnsi="Arial"/>
                <w:sz w:val="29"/>
                <w:szCs w:val="29"/>
                <w:color w:val="auto"/>
                <w:vertAlign w:val="superscript"/>
              </w:rPr>
              <w:t>(1)</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4,149,319</w:t>
            </w: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4,024,490</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3,808,137</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w:t>
            </w:r>
          </w:p>
        </w:tc>
        <w:tc>
          <w:tcPr>
            <w:tcW w:w="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w w:val="99"/>
              </w:rPr>
              <w:t>Fair value through other comprehensive income investments</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23,516,932</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26,800,577</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26,794,192</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Amortized cost investments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4,106,966</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3,589,360</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3,353,898</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investments</w:t>
            </w:r>
          </w:p>
        </w:tc>
        <w:tc>
          <w:tcPr>
            <w:tcW w:w="9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gridSpan w:val="2"/>
            <w:vMerge w:val="continue"/>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31,773,217</w:t>
            </w:r>
          </w:p>
        </w:tc>
        <w:tc>
          <w:tcPr>
            <w:tcW w:w="180" w:type="dxa"/>
            <w:vAlign w:val="bottom"/>
            <w:vMerge w:val="continue"/>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34,414,427</w:t>
            </w:r>
          </w:p>
        </w:tc>
        <w:tc>
          <w:tcPr>
            <w:tcW w:w="180" w:type="dxa"/>
            <w:vAlign w:val="bottom"/>
            <w:vMerge w:val="continue"/>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33,956,227</w:t>
            </w:r>
          </w:p>
        </w:tc>
        <w:tc>
          <w:tcPr>
            <w:tcW w:w="180" w:type="dxa"/>
            <w:vAlign w:val="bottom"/>
            <w:vMerge w:val="continue"/>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6.9%</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
        <w:spacing w:after="0" w:line="277" w:lineRule="auto"/>
        <w:tabs>
          <w:tab w:leader="none" w:pos="26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figures differ from those previously reported due to the disclosure of "Financial assets designated at fair value through profir or loss" as a separate item within IEA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Evolution of IEA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loans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Total loans, measured in quarter-end balances, grew +2.6% QoQ, which was mainly attributable to growth in the loan portfolio for Universal Banking:</w:t>
      </w:r>
    </w:p>
    <w:p>
      <w:pPr>
        <w:spacing w:after="0" w:line="237" w:lineRule="exact"/>
        <w:rPr>
          <w:sz w:val="20"/>
          <w:szCs w:val="20"/>
          <w:color w:val="auto"/>
        </w:rPr>
      </w:pPr>
    </w:p>
    <w:p>
      <w:pPr>
        <w:jc w:val="both"/>
        <w:ind w:left="900" w:hanging="509"/>
        <w:spacing w:after="0" w:line="264" w:lineRule="auto"/>
        <w:tabs>
          <w:tab w:leader="none" w:pos="928"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BCP Stand-alone, the largest increase was generated by Retail Banking and driven by growth in all segments, where Mortgage and Consumer continue to post noteworthy results; the expansion in Wholesale Banking was attributable to growth in both the Corporate and Middle Market Banking segments.</w:t>
      </w:r>
    </w:p>
    <w:p>
      <w:pPr>
        <w:spacing w:after="0" w:line="181" w:lineRule="exact"/>
        <w:rPr>
          <w:rFonts w:ascii="Arial" w:cs="Arial" w:eastAsia="Arial" w:hAnsi="Arial"/>
          <w:sz w:val="18"/>
          <w:szCs w:val="18"/>
          <w:color w:val="auto"/>
        </w:rPr>
      </w:pPr>
    </w:p>
    <w:p>
      <w:pPr>
        <w:ind w:left="900" w:hanging="509"/>
        <w:spacing w:after="0" w:line="277" w:lineRule="auto"/>
        <w:tabs>
          <w:tab w:leader="none" w:pos="921"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BCP Bolivia, growth in quarter end balances QoQ was attributable mainly to the Corporate and Mortgage segments followed by growth in the Consumer segment.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YoY, loans expanded +6.8%, driven by growth in the majority of segments, which was led, in order of magnitude, by:</w:t>
      </w:r>
    </w:p>
    <w:p>
      <w:pPr>
        <w:spacing w:after="0" w:line="225" w:lineRule="exact"/>
        <w:rPr>
          <w:sz w:val="20"/>
          <w:szCs w:val="20"/>
          <w:color w:val="auto"/>
        </w:rPr>
      </w:pPr>
    </w:p>
    <w:p>
      <w:pPr>
        <w:ind w:left="920" w:hanging="529"/>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Growth in Retail Banking, led by the Mortgage and Consumer segments.</w:t>
      </w:r>
    </w:p>
    <w:p>
      <w:pPr>
        <w:spacing w:after="0" w:line="225" w:lineRule="exact"/>
        <w:rPr>
          <w:rFonts w:ascii="Arial" w:cs="Arial" w:eastAsia="Arial" w:hAnsi="Arial"/>
          <w:sz w:val="18"/>
          <w:szCs w:val="18"/>
          <w:color w:val="auto"/>
        </w:rPr>
      </w:pPr>
    </w:p>
    <w:p>
      <w:pPr>
        <w:ind w:left="920" w:hanging="529"/>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Growth in the Wholesale Banking portfolio, led by Middle Market Banking.</w:t>
      </w:r>
    </w:p>
    <w:p>
      <w:pPr>
        <w:spacing w:after="0" w:line="225" w:lineRule="exact"/>
        <w:rPr>
          <w:rFonts w:ascii="Arial" w:cs="Arial" w:eastAsia="Arial" w:hAnsi="Arial"/>
          <w:sz w:val="18"/>
          <w:szCs w:val="18"/>
          <w:color w:val="auto"/>
        </w:rPr>
      </w:pPr>
    </w:p>
    <w:p>
      <w:pPr>
        <w:ind w:left="940" w:hanging="549"/>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Growth in loans at Mibanco and BCP Bolivia.</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investments fell -1.3% QoQ. In the YoY evolution, total investments increased +6.9%, which reflected a slight recomposition where fair value through other comprehensive income investments (formerly securities available for sale) increased their share of total investments while investments at amortized cost and fair value through profit and loss investments posted decreases.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IEA</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Available funds grew 15.6% QoQ and 53.1% YoY due to growth in FC funds held at BCRP and, to a lesser extent, to an increase in FC balances in foreign banks after the level of foreign currency funding at BCP Stand-alone rose.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Credicorp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1.2.1. Loan evolution by business segment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chart below shows the composition of loans by subsidiary and loan segment measured in average daily balances. These balances provide the most accurate platform to analyze the evolution of income generation from interest on loans, which constitutes Credicorp’s main source of income. Additionally, average daily balances reflect trends or variations to a different degree than quarter-end balances which may include pre-payments or loans made at the end of the quarter, that affect average daily balances less than quarter-end balances.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Average daily loan balances posted growth of +2.0% QoQ. Similar to last quarter, this expansion was driven by the results of the Mortgage and Consumer segments. YoY, average daily loan balances expanded +7.0%. This evolution reflected a significant increase in the Mortgage segment followed by slighter increases in Credit Cards, Consumer and SME-Pyme. Growth was also driven, albeit to a lesser extent, to an improvement in the results for Wholesale Banking, where Middle Market banking drove expansion. Growth in loan balances both QoQ and YoY was concentrated in local currency.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Loan evolution measured in average daily balances by segment </w:t>
      </w:r>
      <w:r>
        <w:rPr>
          <w:rFonts w:ascii="Arial" w:cs="Arial" w:eastAsia="Arial" w:hAnsi="Arial"/>
          <w:sz w:val="30"/>
          <w:szCs w:val="30"/>
          <w:b w:val="1"/>
          <w:bCs w:val="1"/>
          <w:color w:val="auto"/>
          <w:vertAlign w:val="superscript"/>
        </w:rPr>
        <w:t>(1)</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20"/>
        </w:trPr>
        <w:tc>
          <w:tcPr>
            <w:tcW w:w="2920" w:type="dxa"/>
            <w:vAlign w:val="bottom"/>
          </w:tcPr>
          <w:p>
            <w:pPr>
              <w:spacing w:after="0"/>
              <w:rPr>
                <w:sz w:val="19"/>
                <w:szCs w:val="19"/>
                <w:color w:val="auto"/>
              </w:rPr>
            </w:pPr>
          </w:p>
        </w:tc>
        <w:tc>
          <w:tcPr>
            <w:tcW w:w="1920" w:type="dxa"/>
            <w:vAlign w:val="bottom"/>
            <w:gridSpan w:val="5"/>
          </w:tcPr>
          <w:p>
            <w:pPr>
              <w:jc w:val="center"/>
              <w:ind w:left="510"/>
              <w:spacing w:after="0"/>
              <w:rPr>
                <w:sz w:val="20"/>
                <w:szCs w:val="20"/>
                <w:color w:val="auto"/>
              </w:rPr>
            </w:pPr>
            <w:r>
              <w:rPr>
                <w:rFonts w:ascii="Arial" w:cs="Arial" w:eastAsia="Arial" w:hAnsi="Arial"/>
                <w:sz w:val="18"/>
                <w:szCs w:val="18"/>
                <w:b w:val="1"/>
                <w:bCs w:val="1"/>
                <w:color w:val="auto"/>
                <w:w w:val="99"/>
              </w:rPr>
              <w:t>TOTAL LOANS</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gridSpan w:val="6"/>
            <w:vMerge w:val="restart"/>
          </w:tcPr>
          <w:p>
            <w:pPr>
              <w:ind w:left="340"/>
              <w:spacing w:after="0"/>
              <w:rPr>
                <w:sz w:val="20"/>
                <w:szCs w:val="20"/>
                <w:color w:val="auto"/>
              </w:rPr>
            </w:pPr>
            <w:r>
              <w:rPr>
                <w:rFonts w:ascii="Arial" w:cs="Arial" w:eastAsia="Arial" w:hAnsi="Arial"/>
                <w:sz w:val="18"/>
                <w:szCs w:val="18"/>
                <w:b w:val="1"/>
                <w:bCs w:val="1"/>
                <w:color w:val="auto"/>
              </w:rPr>
              <w:t>% Change</w:t>
            </w:r>
          </w:p>
        </w:tc>
        <w:tc>
          <w:tcPr>
            <w:tcW w:w="2900" w:type="dxa"/>
            <w:vAlign w:val="bottom"/>
            <w:gridSpan w:val="6"/>
            <w:vMerge w:val="restart"/>
          </w:tcPr>
          <w:p>
            <w:pPr>
              <w:jc w:val="center"/>
              <w:ind w:right="180"/>
              <w:spacing w:after="0"/>
              <w:rPr>
                <w:sz w:val="20"/>
                <w:szCs w:val="20"/>
                <w:color w:val="auto"/>
              </w:rPr>
            </w:pPr>
            <w:r>
              <w:rPr>
                <w:rFonts w:ascii="Arial" w:cs="Arial" w:eastAsia="Arial" w:hAnsi="Arial"/>
                <w:sz w:val="18"/>
                <w:szCs w:val="18"/>
                <w:b w:val="1"/>
                <w:bCs w:val="1"/>
                <w:color w:val="auto"/>
                <w:w w:val="92"/>
              </w:rPr>
              <w:t>% Part. in total loans</w:t>
            </w:r>
          </w:p>
        </w:tc>
        <w:tc>
          <w:tcPr>
            <w:tcW w:w="0" w:type="dxa"/>
            <w:vAlign w:val="bottom"/>
          </w:tcPr>
          <w:p>
            <w:pPr>
              <w:spacing w:after="0"/>
              <w:rPr>
                <w:sz w:val="1"/>
                <w:szCs w:val="1"/>
                <w:color w:val="auto"/>
              </w:rPr>
            </w:pPr>
          </w:p>
        </w:tc>
      </w:tr>
      <w:tr>
        <w:trPr>
          <w:trHeight w:val="226"/>
        </w:trPr>
        <w:tc>
          <w:tcPr>
            <w:tcW w:w="2920" w:type="dxa"/>
            <w:vAlign w:val="bottom"/>
          </w:tcPr>
          <w:p>
            <w:pPr>
              <w:spacing w:after="0"/>
              <w:rPr>
                <w:sz w:val="19"/>
                <w:szCs w:val="19"/>
                <w:color w:val="auto"/>
              </w:rPr>
            </w:pPr>
          </w:p>
        </w:tc>
        <w:tc>
          <w:tcPr>
            <w:tcW w:w="2700" w:type="dxa"/>
            <w:vAlign w:val="bottom"/>
            <w:gridSpan w:val="7"/>
          </w:tcPr>
          <w:p>
            <w:pPr>
              <w:jc w:val="center"/>
              <w:ind w:right="200"/>
              <w:spacing w:after="0"/>
              <w:rPr>
                <w:sz w:val="20"/>
                <w:szCs w:val="20"/>
                <w:color w:val="auto"/>
              </w:rPr>
            </w:pPr>
            <w:r>
              <w:rPr>
                <w:rFonts w:ascii="Arial" w:cs="Arial" w:eastAsia="Arial" w:hAnsi="Arial"/>
                <w:sz w:val="18"/>
                <w:szCs w:val="18"/>
                <w:i w:val="1"/>
                <w:iCs w:val="1"/>
                <w:color w:val="auto"/>
                <w:w w:val="91"/>
              </w:rPr>
              <w:t>Expressed in million S/</w:t>
            </w:r>
          </w:p>
        </w:tc>
        <w:tc>
          <w:tcPr>
            <w:tcW w:w="100" w:type="dxa"/>
            <w:vAlign w:val="bottom"/>
          </w:tcPr>
          <w:p>
            <w:pPr>
              <w:spacing w:after="0"/>
              <w:rPr>
                <w:sz w:val="19"/>
                <w:szCs w:val="19"/>
                <w:color w:val="auto"/>
              </w:rPr>
            </w:pPr>
          </w:p>
        </w:tc>
        <w:tc>
          <w:tcPr>
            <w:tcW w:w="1880" w:type="dxa"/>
            <w:vAlign w:val="bottom"/>
            <w:gridSpan w:val="6"/>
            <w:vMerge w:val="continue"/>
          </w:tcPr>
          <w:p>
            <w:pPr>
              <w:spacing w:after="0"/>
              <w:rPr>
                <w:sz w:val="19"/>
                <w:szCs w:val="19"/>
                <w:color w:val="auto"/>
              </w:rPr>
            </w:pPr>
          </w:p>
        </w:tc>
        <w:tc>
          <w:tcPr>
            <w:tcW w:w="2900" w:type="dxa"/>
            <w:vAlign w:val="bottom"/>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2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3Q18</w:t>
            </w:r>
          </w:p>
        </w:tc>
        <w:tc>
          <w:tcPr>
            <w:tcW w:w="20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2Q19</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3Q19</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YoY</w:t>
            </w:r>
          </w:p>
        </w:tc>
        <w:tc>
          <w:tcPr>
            <w:tcW w:w="280" w:type="dxa"/>
            <w:vAlign w:val="bottom"/>
            <w:tcBorders>
              <w:bottom w:val="single" w:sz="8" w:color="CCEEFF"/>
            </w:tcBorders>
            <w:gridSpan w:val="2"/>
          </w:tcPr>
          <w:p>
            <w:pPr>
              <w:spacing w:after="0"/>
              <w:rPr>
                <w:sz w:val="20"/>
                <w:szCs w:val="20"/>
                <w:color w:val="auto"/>
              </w:rPr>
            </w:pPr>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3Q18</w:t>
            </w:r>
          </w:p>
        </w:tc>
        <w:tc>
          <w:tcPr>
            <w:tcW w:w="28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2Q19</w:t>
            </w:r>
          </w:p>
        </w:tc>
        <w:tc>
          <w:tcPr>
            <w:tcW w:w="28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3Q19</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BCP Stand-alone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85,289</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89,632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91,700</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2.3%</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81.8%</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81.9%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82.1%</w:t>
            </w:r>
          </w:p>
        </w:tc>
        <w:tc>
          <w:tcPr>
            <w:tcW w:w="0" w:type="dxa"/>
            <w:vAlign w:val="bottom"/>
          </w:tcPr>
          <w:p>
            <w:pPr>
              <w:spacing w:after="0"/>
              <w:rPr>
                <w:sz w:val="1"/>
                <w:szCs w:val="1"/>
                <w:color w:val="auto"/>
              </w:rPr>
            </w:pPr>
          </w:p>
        </w:tc>
      </w:tr>
      <w:tr>
        <w:trPr>
          <w:trHeight w:val="216"/>
        </w:trPr>
        <w:tc>
          <w:tcPr>
            <w:tcW w:w="2920" w:type="dxa"/>
            <w:vAlign w:val="bottom"/>
          </w:tcPr>
          <w:p>
            <w:pPr>
              <w:ind w:left="160"/>
              <w:spacing w:after="0"/>
              <w:rPr>
                <w:sz w:val="20"/>
                <w:szCs w:val="20"/>
                <w:color w:val="auto"/>
              </w:rPr>
            </w:pPr>
            <w:r>
              <w:rPr>
                <w:rFonts w:ascii="Arial" w:cs="Arial" w:eastAsia="Arial" w:hAnsi="Arial"/>
                <w:sz w:val="18"/>
                <w:szCs w:val="18"/>
                <w:b w:val="1"/>
                <w:bCs w:val="1"/>
                <w:color w:val="auto"/>
              </w:rPr>
              <w:t>Wholesale Banking</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44,963</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45,883</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46,434</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1.2%</w:t>
            </w:r>
          </w:p>
        </w:tc>
        <w:tc>
          <w:tcPr>
            <w:tcW w:w="880" w:type="dxa"/>
            <w:vAlign w:val="bottom"/>
            <w:gridSpan w:val="3"/>
          </w:tcPr>
          <w:p>
            <w:pPr>
              <w:jc w:val="right"/>
              <w:spacing w:after="0"/>
              <w:rPr>
                <w:sz w:val="20"/>
                <w:szCs w:val="20"/>
                <w:color w:val="auto"/>
              </w:rPr>
            </w:pPr>
            <w:r>
              <w:rPr>
                <w:rFonts w:ascii="Arial" w:cs="Arial" w:eastAsia="Arial" w:hAnsi="Arial"/>
                <w:sz w:val="18"/>
                <w:szCs w:val="18"/>
                <w:b w:val="1"/>
                <w:bCs w:val="1"/>
                <w:color w:val="auto"/>
              </w:rPr>
              <w:t>3.3%</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43.1%</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41.9%</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41.6%</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27,499</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28,065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28,024</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26.4%</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25.6%</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920" w:type="dxa"/>
            <w:vAlign w:val="bottom"/>
          </w:tcPr>
          <w:p>
            <w:pPr>
              <w:ind w:left="340"/>
              <w:spacing w:after="0"/>
              <w:rPr>
                <w:sz w:val="20"/>
                <w:szCs w:val="20"/>
                <w:color w:val="auto"/>
              </w:rPr>
            </w:pPr>
            <w:r>
              <w:rPr>
                <w:rFonts w:ascii="Arial" w:cs="Arial" w:eastAsia="Arial" w:hAnsi="Arial"/>
                <w:sz w:val="18"/>
                <w:szCs w:val="18"/>
                <w:color w:val="auto"/>
              </w:rPr>
              <w:t>Middle - Market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17,464</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17,818</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18,410</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3.3%</w:t>
            </w:r>
          </w:p>
        </w:tc>
        <w:tc>
          <w:tcPr>
            <w:tcW w:w="880" w:type="dxa"/>
            <w:vAlign w:val="bottom"/>
            <w:gridSpan w:val="3"/>
            <w:shd w:val="clear" w:color="auto" w:fill="C5D9F1"/>
          </w:tcPr>
          <w:p>
            <w:pPr>
              <w:jc w:val="right"/>
              <w:ind w:right="4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5D9F1"/>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16.7%</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16.3%</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Retail Banking</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40,326</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43,749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45,266</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3.5%</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12.3%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38.7%</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40.5%</w:t>
            </w:r>
          </w:p>
        </w:tc>
        <w:tc>
          <w:tcPr>
            <w:tcW w:w="0" w:type="dxa"/>
            <w:vAlign w:val="bottom"/>
          </w:tcPr>
          <w:p>
            <w:pPr>
              <w:spacing w:after="0"/>
              <w:rPr>
                <w:sz w:val="1"/>
                <w:szCs w:val="1"/>
                <w:color w:val="auto"/>
              </w:rPr>
            </w:pPr>
          </w:p>
        </w:tc>
      </w:tr>
      <w:tr>
        <w:trPr>
          <w:trHeight w:val="216"/>
        </w:trPr>
        <w:tc>
          <w:tcPr>
            <w:tcW w:w="2920" w:type="dxa"/>
            <w:vAlign w:val="bottom"/>
          </w:tcPr>
          <w:p>
            <w:pPr>
              <w:ind w:left="340"/>
              <w:spacing w:after="0"/>
              <w:rPr>
                <w:sz w:val="20"/>
                <w:szCs w:val="20"/>
                <w:color w:val="auto"/>
              </w:rPr>
            </w:pPr>
            <w:r>
              <w:rPr>
                <w:rFonts w:ascii="Arial" w:cs="Arial" w:eastAsia="Arial" w:hAnsi="Arial"/>
                <w:sz w:val="18"/>
                <w:szCs w:val="18"/>
                <w:color w:val="auto"/>
              </w:rPr>
              <w:t>SME - Business</w:t>
            </w:r>
          </w:p>
        </w:tc>
        <w:tc>
          <w:tcPr>
            <w:tcW w:w="700" w:type="dxa"/>
            <w:vAlign w:val="bottom"/>
          </w:tcPr>
          <w:p>
            <w:pPr>
              <w:jc w:val="right"/>
              <w:spacing w:after="0"/>
              <w:rPr>
                <w:sz w:val="20"/>
                <w:szCs w:val="20"/>
                <w:color w:val="auto"/>
              </w:rPr>
            </w:pPr>
            <w:r>
              <w:rPr>
                <w:rFonts w:ascii="Arial" w:cs="Arial" w:eastAsia="Arial" w:hAnsi="Arial"/>
                <w:sz w:val="18"/>
                <w:szCs w:val="18"/>
                <w:color w:val="auto"/>
              </w:rPr>
              <w:t>5,384</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5,340</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5,544</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3.8%</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SME - Pyme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8,939</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9,558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9,851</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5D9F1"/>
          </w:tcPr>
          <w:p>
            <w:pPr>
              <w:spacing w:after="0"/>
              <w:rPr>
                <w:sz w:val="18"/>
                <w:szCs w:val="18"/>
                <w:color w:val="auto"/>
              </w:rPr>
            </w:pPr>
          </w:p>
        </w:tc>
        <w:tc>
          <w:tcPr>
            <w:tcW w:w="800" w:type="dxa"/>
            <w:vAlign w:val="bottom"/>
            <w:gridSpan w:val="2"/>
            <w:shd w:val="clear" w:color="auto" w:fill="C5D9F1"/>
          </w:tcPr>
          <w:p>
            <w:pPr>
              <w:jc w:val="right"/>
              <w:ind w:right="4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5D9F1"/>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920" w:type="dxa"/>
            <w:vAlign w:val="bottom"/>
          </w:tcPr>
          <w:p>
            <w:pPr>
              <w:ind w:left="340"/>
              <w:spacing w:after="0"/>
              <w:rPr>
                <w:sz w:val="20"/>
                <w:szCs w:val="20"/>
                <w:color w:val="auto"/>
              </w:rPr>
            </w:pPr>
            <w:r>
              <w:rPr>
                <w:rFonts w:ascii="Arial" w:cs="Arial" w:eastAsia="Arial" w:hAnsi="Arial"/>
                <w:sz w:val="18"/>
                <w:szCs w:val="18"/>
                <w:color w:val="auto"/>
              </w:rPr>
              <w:t>Mortgage</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14,159</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15,539</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16,095</w:t>
            </w:r>
          </w:p>
        </w:tc>
        <w:tc>
          <w:tcPr>
            <w:tcW w:w="100" w:type="dxa"/>
            <w:vAlign w:val="bottom"/>
            <w:shd w:val="clear" w:color="auto" w:fill="C5D9F1"/>
          </w:tcPr>
          <w:p>
            <w:pPr>
              <w:spacing w:after="0"/>
              <w:rPr>
                <w:sz w:val="18"/>
                <w:szCs w:val="18"/>
                <w:color w:val="auto"/>
              </w:rPr>
            </w:pPr>
          </w:p>
        </w:tc>
        <w:tc>
          <w:tcPr>
            <w:tcW w:w="900" w:type="dxa"/>
            <w:vAlign w:val="bottom"/>
            <w:gridSpan w:val="2"/>
            <w:shd w:val="clear" w:color="auto" w:fill="C5D9F1"/>
          </w:tcPr>
          <w:p>
            <w:pPr>
              <w:jc w:val="right"/>
              <w:ind w:right="14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5D9F1"/>
          </w:tcPr>
          <w:p>
            <w:pPr>
              <w:spacing w:after="0"/>
              <w:rPr>
                <w:sz w:val="18"/>
                <w:szCs w:val="18"/>
                <w:color w:val="auto"/>
              </w:rPr>
            </w:pPr>
          </w:p>
        </w:tc>
        <w:tc>
          <w:tcPr>
            <w:tcW w:w="800" w:type="dxa"/>
            <w:vAlign w:val="bottom"/>
            <w:gridSpan w:val="2"/>
            <w:shd w:val="clear" w:color="auto" w:fill="C5D9F1"/>
          </w:tcPr>
          <w:p>
            <w:pPr>
              <w:jc w:val="right"/>
              <w:ind w:right="40"/>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5D9F1"/>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13.6%</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14.2%</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7,275</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7,878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8,239</w:t>
            </w:r>
          </w:p>
        </w:tc>
        <w:tc>
          <w:tcPr>
            <w:tcW w:w="100" w:type="dxa"/>
            <w:vAlign w:val="bottom"/>
            <w:shd w:val="clear" w:color="auto" w:fill="C5D9F1"/>
          </w:tcPr>
          <w:p>
            <w:pPr>
              <w:spacing w:after="0"/>
              <w:rPr>
                <w:sz w:val="18"/>
                <w:szCs w:val="18"/>
                <w:color w:val="auto"/>
              </w:rPr>
            </w:pPr>
          </w:p>
        </w:tc>
        <w:tc>
          <w:tcPr>
            <w:tcW w:w="900" w:type="dxa"/>
            <w:vAlign w:val="bottom"/>
            <w:gridSpan w:val="2"/>
            <w:shd w:val="clear" w:color="auto" w:fill="C5D9F1"/>
          </w:tcPr>
          <w:p>
            <w:pPr>
              <w:jc w:val="right"/>
              <w:ind w:right="14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5D9F1"/>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920" w:type="dxa"/>
            <w:vAlign w:val="bottom"/>
          </w:tcPr>
          <w:p>
            <w:pPr>
              <w:ind w:left="340"/>
              <w:spacing w:after="0"/>
              <w:rPr>
                <w:sz w:val="20"/>
                <w:szCs w:val="20"/>
                <w:color w:val="auto"/>
              </w:rPr>
            </w:pPr>
            <w:r>
              <w:rPr>
                <w:rFonts w:ascii="Arial" w:cs="Arial" w:eastAsia="Arial" w:hAnsi="Arial"/>
                <w:sz w:val="18"/>
                <w:szCs w:val="18"/>
                <w:color w:val="auto"/>
              </w:rPr>
              <w:t>Credit Card</w:t>
            </w:r>
          </w:p>
        </w:tc>
        <w:tc>
          <w:tcPr>
            <w:tcW w:w="700" w:type="dxa"/>
            <w:vAlign w:val="bottom"/>
          </w:tcPr>
          <w:p>
            <w:pPr>
              <w:jc w:val="right"/>
              <w:spacing w:after="0"/>
              <w:rPr>
                <w:sz w:val="20"/>
                <w:szCs w:val="20"/>
                <w:color w:val="auto"/>
              </w:rPr>
            </w:pPr>
            <w:r>
              <w:rPr>
                <w:rFonts w:ascii="Arial" w:cs="Arial" w:eastAsia="Arial" w:hAnsi="Arial"/>
                <w:sz w:val="18"/>
                <w:szCs w:val="18"/>
                <w:color w:val="auto"/>
              </w:rPr>
              <w:t>4,569</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5,433</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5,538</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5D9F1"/>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5D9F1"/>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Mibanco</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9,585</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10,031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10,068</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0.4%</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9.2%</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b w:val="1"/>
                <w:bCs w:val="1"/>
                <w:color w:val="auto"/>
              </w:rPr>
              <w:t>Bolivia</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6,888</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7,244</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7,431</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2.6%</w:t>
            </w:r>
          </w:p>
        </w:tc>
        <w:tc>
          <w:tcPr>
            <w:tcW w:w="880" w:type="dxa"/>
            <w:vAlign w:val="bottom"/>
            <w:gridSpan w:val="3"/>
            <w:shd w:val="clear" w:color="auto" w:fill="C5D9F1"/>
          </w:tcPr>
          <w:p>
            <w:pPr>
              <w:jc w:val="right"/>
              <w:spacing w:after="0"/>
              <w:rPr>
                <w:sz w:val="20"/>
                <w:szCs w:val="20"/>
                <w:color w:val="auto"/>
              </w:rPr>
            </w:pPr>
            <w:r>
              <w:rPr>
                <w:rFonts w:ascii="Arial" w:cs="Arial" w:eastAsia="Arial" w:hAnsi="Arial"/>
                <w:sz w:val="18"/>
                <w:szCs w:val="18"/>
                <w:b w:val="1"/>
                <w:bCs w:val="1"/>
                <w:color w:val="auto"/>
              </w:rPr>
              <w:t>7.9%</w:t>
            </w:r>
          </w:p>
        </w:tc>
        <w:tc>
          <w:tcPr>
            <w:tcW w:w="100" w:type="dxa"/>
            <w:vAlign w:val="bottom"/>
            <w:shd w:val="clear" w:color="auto" w:fill="C5D9F1"/>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6.6%</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6.6%</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6.7%</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ASB</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2,551</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2,467</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FDE9D9"/>
          </w:tcPr>
          <w:p>
            <w:pPr>
              <w:jc w:val="right"/>
              <w:ind w:right="120"/>
              <w:spacing w:after="0"/>
              <w:rPr>
                <w:sz w:val="20"/>
                <w:szCs w:val="20"/>
                <w:color w:val="auto"/>
              </w:rPr>
            </w:pPr>
            <w:r>
              <w:rPr>
                <w:rFonts w:ascii="Arial" w:cs="Arial" w:eastAsia="Arial" w:hAnsi="Arial"/>
                <w:sz w:val="18"/>
                <w:szCs w:val="18"/>
                <w:b w:val="1"/>
                <w:bCs w:val="1"/>
                <w:color w:val="auto"/>
              </w:rPr>
              <w:t>-2.5%</w:t>
            </w:r>
          </w:p>
        </w:tc>
        <w:tc>
          <w:tcPr>
            <w:tcW w:w="880" w:type="dxa"/>
            <w:vAlign w:val="bottom"/>
            <w:gridSpan w:val="3"/>
            <w:shd w:val="clear" w:color="auto" w:fill="FDE9D9"/>
          </w:tcPr>
          <w:p>
            <w:pPr>
              <w:jc w:val="right"/>
              <w:spacing w:after="0"/>
              <w:rPr>
                <w:sz w:val="20"/>
                <w:szCs w:val="20"/>
                <w:color w:val="auto"/>
              </w:rPr>
            </w:pPr>
            <w:r>
              <w:rPr>
                <w:rFonts w:ascii="Arial" w:cs="Arial" w:eastAsia="Arial" w:hAnsi="Arial"/>
                <w:sz w:val="18"/>
                <w:szCs w:val="18"/>
                <w:b w:val="1"/>
                <w:bCs w:val="1"/>
                <w:color w:val="auto"/>
              </w:rPr>
              <w:t>-3.3%</w:t>
            </w:r>
          </w:p>
        </w:tc>
        <w:tc>
          <w:tcPr>
            <w:tcW w:w="100" w:type="dxa"/>
            <w:vAlign w:val="bottom"/>
            <w:shd w:val="clear" w:color="auto" w:fill="FDE9D9"/>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0"/>
        </w:trPr>
        <w:tc>
          <w:tcPr>
            <w:tcW w:w="2920" w:type="dxa"/>
            <w:vAlign w:val="bottom"/>
            <w:vMerge w:val="restart"/>
          </w:tcPr>
          <w:p>
            <w:pPr>
              <w:spacing w:after="0"/>
              <w:rPr>
                <w:sz w:val="20"/>
                <w:szCs w:val="20"/>
                <w:color w:val="auto"/>
              </w:rPr>
            </w:pPr>
            <w:r>
              <w:rPr>
                <w:rFonts w:ascii="Arial" w:cs="Arial" w:eastAsia="Arial" w:hAnsi="Arial"/>
                <w:sz w:val="18"/>
                <w:szCs w:val="18"/>
                <w:b w:val="1"/>
                <w:bCs w:val="1"/>
                <w:color w:val="auto"/>
              </w:rPr>
              <w:t>BAP’s total loans</w:t>
            </w: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20" w:type="dxa"/>
            <w:vAlign w:val="bottom"/>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104,313</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109,436</w:t>
            </w:r>
          </w:p>
        </w:tc>
        <w:tc>
          <w:tcPr>
            <w:tcW w:w="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111,666</w:t>
            </w:r>
          </w:p>
        </w:tc>
        <w:tc>
          <w:tcPr>
            <w:tcW w:w="180" w:type="dxa"/>
            <w:vAlign w:val="bottom"/>
            <w:vMerge w:val="continue"/>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2.0%</w:t>
            </w:r>
          </w:p>
        </w:tc>
        <w:tc>
          <w:tcPr>
            <w:tcW w:w="880" w:type="dxa"/>
            <w:vAlign w:val="bottom"/>
            <w:gridSpan w:val="3"/>
          </w:tcPr>
          <w:p>
            <w:pPr>
              <w:jc w:val="right"/>
              <w:spacing w:after="0"/>
              <w:rPr>
                <w:sz w:val="20"/>
                <w:szCs w:val="20"/>
                <w:color w:val="auto"/>
              </w:rPr>
            </w:pPr>
            <w:r>
              <w:rPr>
                <w:rFonts w:ascii="Arial" w:cs="Arial" w:eastAsia="Arial" w:hAnsi="Arial"/>
                <w:sz w:val="18"/>
                <w:szCs w:val="18"/>
                <w:b w:val="1"/>
                <w:bCs w:val="1"/>
                <w:color w:val="auto"/>
              </w:rPr>
              <w:t>7.0%</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100.0%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100.0%</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-977265</wp:posOffset>
            </wp:positionV>
            <wp:extent cx="565785" cy="411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 cy="411480"/>
                    </a:xfrm>
                    <a:prstGeom prst="rect">
                      <a:avLst/>
                    </a:prstGeom>
                    <a:noFill/>
                  </pic:spPr>
                </pic:pic>
              </a:graphicData>
            </a:graphic>
          </wp:anchor>
        </w:drawing>
      </w:r>
    </w:p>
    <w:p>
      <w:pPr>
        <w:spacing w:after="0" w:line="18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Highest growth in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-121920</wp:posOffset>
            </wp:positionV>
            <wp:extent cx="41148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11480" cy="137160"/>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Largest contraction in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-121920</wp:posOffset>
            </wp:positionV>
            <wp:extent cx="41148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11480" cy="137160"/>
                    </a:xfrm>
                    <a:prstGeom prst="rect">
                      <a:avLst/>
                    </a:prstGeom>
                    <a:noFill/>
                  </pic:spPr>
                </pic:pic>
              </a:graphicData>
            </a:graphic>
          </wp:anchor>
        </w:drawing>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consolidation purposes, loans generated in FC are converted to LC.</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 Includes Work out unit, and other banking.</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Loan Growth QoQ in Average Daily Balances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Expressed in millions of 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 QoQ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17145</wp:posOffset>
            </wp:positionV>
            <wp:extent cx="5702935" cy="2178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02935" cy="2178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In the analysis by segment, we see that QoQ growth in loans measured in average daily balances reflects:</w:t>
      </w:r>
    </w:p>
    <w:p>
      <w:pPr>
        <w:spacing w:after="0" w:line="225" w:lineRule="exact"/>
        <w:rPr>
          <w:sz w:val="20"/>
          <w:szCs w:val="20"/>
          <w:color w:val="auto"/>
        </w:rPr>
      </w:pPr>
    </w:p>
    <w:p>
      <w:pPr>
        <w:ind w:left="880" w:hanging="494"/>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Growth across BCP Stand-alone’s portfolios and in the portfolios of other subsidiaries with the exception of ASB.</w:t>
      </w:r>
    </w:p>
    <w:p>
      <w:pPr>
        <w:spacing w:after="0" w:line="225" w:lineRule="exact"/>
        <w:rPr>
          <w:rFonts w:ascii="Arial" w:cs="Arial" w:eastAsia="Arial" w:hAnsi="Arial"/>
          <w:sz w:val="18"/>
          <w:szCs w:val="18"/>
          <w:color w:val="auto"/>
        </w:rPr>
      </w:pPr>
    </w:p>
    <w:p>
      <w:pPr>
        <w:ind w:left="880" w:hanging="494"/>
        <w:spacing w:after="0" w:line="277"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Retail Banking segments at BCP Stand-alone -fueled mainly by expansion in the Mortgage and Consumer segments- contributed the most to portfolio growth.</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 is important to note that real loan growth in average daily balances was situated at +1.2% QoQ if we eliminate the effect of +2.6% QoQ appreciation of the dollar.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Growth YoY in Average Daily Balances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Expressed in millions of 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+7.0%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154940</wp:posOffset>
            </wp:positionV>
            <wp:extent cx="5634355" cy="2160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34355" cy="2160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The YoY analysis by segment, measured in average daily balances, shows the following:</w:t>
      </w:r>
    </w:p>
    <w:p>
      <w:pPr>
        <w:spacing w:after="0" w:line="225" w:lineRule="exact"/>
        <w:rPr>
          <w:sz w:val="20"/>
          <w:szCs w:val="20"/>
          <w:color w:val="auto"/>
        </w:rPr>
      </w:pPr>
    </w:p>
    <w:p>
      <w:pPr>
        <w:ind w:left="880" w:hanging="494"/>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Within Retail Banking, the Mortgage segment evolution stands out (+S/1,936 million, +13.7% YoY), growing consistently through several previous quarters.</w:t>
      </w:r>
    </w:p>
    <w:p>
      <w:pPr>
        <w:spacing w:after="0" w:line="170" w:lineRule="exact"/>
        <w:rPr>
          <w:rFonts w:ascii="Arial" w:cs="Arial" w:eastAsia="Arial" w:hAnsi="Arial"/>
          <w:sz w:val="18"/>
          <w:szCs w:val="18"/>
          <w:color w:val="auto"/>
        </w:rPr>
      </w:pPr>
    </w:p>
    <w:p>
      <w:pPr>
        <w:ind w:left="880" w:hanging="494"/>
        <w:spacing w:after="0" w:line="308" w:lineRule="auto"/>
        <w:tabs>
          <w:tab w:leader="none" w:pos="8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Other significant variations were seen in the Credit Card segment (+S/969 million), Consumer (+S/964 million) and SME-Pyme (+S/912 million) within Retail Banking and in Middle Market Banking (+S/945 million) and Corporate (+S/526 million) in Wholesale Banking.</w:t>
      </w:r>
    </w:p>
    <w:p>
      <w:pPr>
        <w:spacing w:after="0" w:line="146" w:lineRule="exact"/>
        <w:rPr>
          <w:rFonts w:ascii="Arial" w:cs="Arial" w:eastAsia="Arial" w:hAnsi="Arial"/>
          <w:sz w:val="17"/>
          <w:szCs w:val="17"/>
          <w:color w:val="auto"/>
        </w:rPr>
      </w:pPr>
    </w:p>
    <w:p>
      <w:pPr>
        <w:ind w:left="880" w:right="20" w:hanging="494"/>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Loan growth at BCP Bolivia was situated at +7.9% YoY. This evolution was mainly attributable to growth in the Corporate and Mortgage (regulated) portfolio followed by loan expansion in the Consumer portfolio.</w:t>
      </w:r>
    </w:p>
    <w:p>
      <w:pPr>
        <w:spacing w:after="0" w:line="170" w:lineRule="exact"/>
        <w:rPr>
          <w:rFonts w:ascii="Arial" w:cs="Arial" w:eastAsia="Arial" w:hAnsi="Arial"/>
          <w:sz w:val="18"/>
          <w:szCs w:val="18"/>
          <w:color w:val="auto"/>
        </w:rPr>
      </w:pPr>
    </w:p>
    <w:p>
      <w:pPr>
        <w:ind w:left="880" w:right="20" w:hanging="494"/>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Loan growth at Mibanco (+5.0% YoY), which reflects the bank’s strategy to grow loans hand-in-hand with its commitment to expanding financial exclusion (bringing new clients into the system) while supporting the development of current clients.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 is important to note that real loan growth YoY in average daily balances was situated at +6.3% if we eliminate the effect of appreciation in the US Dollar over the year (+2.5% YoY).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1.2.2. Evolution of the level of dollarization by segment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Loan evolution by currency - average daily balances </w:t>
      </w:r>
      <w:r>
        <w:rPr>
          <w:rFonts w:ascii="Arial" w:cs="Arial" w:eastAsia="Arial" w:hAnsi="Arial"/>
          <w:sz w:val="30"/>
          <w:szCs w:val="30"/>
          <w:b w:val="1"/>
          <w:bCs w:val="1"/>
          <w:color w:val="auto"/>
          <w:vertAlign w:val="superscript"/>
        </w:rPr>
        <w:t>(1)</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gridSpan w:val="7"/>
          </w:tcPr>
          <w:p>
            <w:pPr>
              <w:jc w:val="center"/>
              <w:ind w:right="48"/>
              <w:spacing w:after="0"/>
              <w:rPr>
                <w:sz w:val="20"/>
                <w:szCs w:val="20"/>
                <w:color w:val="auto"/>
              </w:rPr>
            </w:pPr>
            <w:r>
              <w:rPr>
                <w:rFonts w:ascii="Arial" w:cs="Arial" w:eastAsia="Arial" w:hAnsi="Arial"/>
                <w:sz w:val="14"/>
                <w:szCs w:val="14"/>
                <w:b w:val="1"/>
                <w:bCs w:val="1"/>
                <w:color w:val="auto"/>
              </w:rPr>
              <w:t>DOMESTIC CURRENCY LOANS</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gridSpan w:val="6"/>
          </w:tcPr>
          <w:p>
            <w:pPr>
              <w:jc w:val="center"/>
              <w:ind w:right="148"/>
              <w:spacing w:after="0"/>
              <w:rPr>
                <w:sz w:val="20"/>
                <w:szCs w:val="20"/>
                <w:color w:val="auto"/>
              </w:rPr>
            </w:pPr>
            <w:r>
              <w:rPr>
                <w:rFonts w:ascii="Arial" w:cs="Arial" w:eastAsia="Arial" w:hAnsi="Arial"/>
                <w:sz w:val="14"/>
                <w:szCs w:val="14"/>
                <w:b w:val="1"/>
                <w:bCs w:val="1"/>
                <w:color w:val="auto"/>
              </w:rPr>
              <w:t>FOREIGN CURRENCY LOANS</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5"/>
          </w:tcPr>
          <w:p>
            <w:pPr>
              <w:jc w:val="right"/>
              <w:ind w:right="68"/>
              <w:spacing w:after="0"/>
              <w:rPr>
                <w:sz w:val="20"/>
                <w:szCs w:val="20"/>
                <w:color w:val="auto"/>
              </w:rPr>
            </w:pPr>
            <w:r>
              <w:rPr>
                <w:rFonts w:ascii="Arial" w:cs="Arial" w:eastAsia="Arial" w:hAnsi="Arial"/>
                <w:sz w:val="14"/>
                <w:szCs w:val="14"/>
                <w:b w:val="1"/>
                <w:bCs w:val="1"/>
                <w:color w:val="auto"/>
              </w:rPr>
              <w:t>% part. by currency</w:t>
            </w:r>
          </w:p>
        </w:tc>
      </w:tr>
      <w:tr>
        <w:trPr>
          <w:trHeight w:val="162"/>
        </w:trPr>
        <w:tc>
          <w:tcPr>
            <w:tcW w:w="1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6"/>
          </w:tcPr>
          <w:p>
            <w:pPr>
              <w:jc w:val="center"/>
              <w:ind w:right="208"/>
              <w:spacing w:after="0"/>
              <w:rPr>
                <w:sz w:val="20"/>
                <w:szCs w:val="20"/>
                <w:color w:val="auto"/>
              </w:rPr>
            </w:pPr>
            <w:r>
              <w:rPr>
                <w:rFonts w:ascii="Arial" w:cs="Arial" w:eastAsia="Arial" w:hAnsi="Arial"/>
                <w:sz w:val="14"/>
                <w:szCs w:val="14"/>
                <w:i w:val="1"/>
                <w:iCs w:val="1"/>
                <w:color w:val="auto"/>
                <w:w w:val="93"/>
              </w:rPr>
              <w:t>Expressed in million S/</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gridSpan w:val="6"/>
          </w:tcPr>
          <w:p>
            <w:pPr>
              <w:jc w:val="center"/>
              <w:ind w:right="148"/>
              <w:spacing w:after="0"/>
              <w:rPr>
                <w:sz w:val="20"/>
                <w:szCs w:val="20"/>
                <w:color w:val="auto"/>
              </w:rPr>
            </w:pPr>
            <w:r>
              <w:rPr>
                <w:rFonts w:ascii="Arial" w:cs="Arial" w:eastAsia="Arial" w:hAnsi="Arial"/>
                <w:sz w:val="14"/>
                <w:szCs w:val="14"/>
                <w:i w:val="1"/>
                <w:iCs w:val="1"/>
                <w:color w:val="auto"/>
                <w:w w:val="93"/>
              </w:rPr>
              <w:t>Expressed in million US$</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3"/>
          </w:tcPr>
          <w:p>
            <w:pPr>
              <w:ind w:left="520"/>
              <w:spacing w:after="0"/>
              <w:rPr>
                <w:sz w:val="20"/>
                <w:szCs w:val="20"/>
                <w:color w:val="auto"/>
              </w:rPr>
            </w:pPr>
            <w:r>
              <w:rPr>
                <w:rFonts w:ascii="Arial" w:cs="Arial" w:eastAsia="Arial" w:hAnsi="Arial"/>
                <w:sz w:val="14"/>
                <w:szCs w:val="14"/>
                <w:b w:val="1"/>
                <w:bCs w:val="1"/>
                <w:color w:val="auto"/>
              </w:rPr>
              <w:t>3Q19</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19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3Q18</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2Q19</w:t>
            </w:r>
          </w:p>
        </w:tc>
        <w:tc>
          <w:tcPr>
            <w:tcW w:w="2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3Q19</w:t>
            </w:r>
          </w:p>
        </w:tc>
        <w:tc>
          <w:tcPr>
            <w:tcW w:w="2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YoY</w:t>
            </w:r>
          </w:p>
        </w:tc>
        <w:tc>
          <w:tcPr>
            <w:tcW w:w="260" w:type="dxa"/>
            <w:vAlign w:val="bottom"/>
            <w:tcBorders>
              <w:bottom w:val="single" w:sz="8" w:color="CCEEFF"/>
            </w:tcBorders>
            <w:gridSpan w:val="2"/>
          </w:tcPr>
          <w:p>
            <w:pPr>
              <w:spacing w:after="0"/>
              <w:rPr>
                <w:sz w:val="14"/>
                <w:szCs w:val="14"/>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3Q18</w:t>
            </w:r>
          </w:p>
        </w:tc>
        <w:tc>
          <w:tcPr>
            <w:tcW w:w="2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2Q19</w:t>
            </w:r>
          </w:p>
        </w:tc>
        <w:tc>
          <w:tcPr>
            <w:tcW w:w="2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3Q19</w:t>
            </w:r>
          </w:p>
        </w:tc>
        <w:tc>
          <w:tcPr>
            <w:tcW w:w="2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YoY</w:t>
            </w:r>
          </w:p>
        </w:tc>
        <w:tc>
          <w:tcPr>
            <w:tcW w:w="2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LC</w:t>
            </w: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FC</w:t>
            </w:r>
          </w:p>
        </w:tc>
        <w:tc>
          <w:tcPr>
            <w:tcW w:w="120" w:type="dxa"/>
            <w:vAlign w:val="bottom"/>
            <w:tcBorders>
              <w:bottom w:val="single" w:sz="8" w:color="CCEEFF"/>
            </w:tcBorders>
          </w:tcPr>
          <w:p>
            <w:pPr>
              <w:spacing w:after="0"/>
              <w:rPr>
                <w:sz w:val="14"/>
                <w:szCs w:val="14"/>
                <w:color w:val="auto"/>
              </w:rPr>
            </w:pPr>
          </w:p>
        </w:tc>
      </w:tr>
      <w:tr>
        <w:trPr>
          <w:trHeight w:val="142"/>
        </w:trPr>
        <w:tc>
          <w:tcPr>
            <w:tcW w:w="1960" w:type="dxa"/>
            <w:vAlign w:val="bottom"/>
            <w:shd w:val="clear" w:color="auto" w:fill="CCEEFF"/>
          </w:tcPr>
          <w:p>
            <w:pPr>
              <w:ind w:left="40"/>
              <w:spacing w:after="0" w:line="142" w:lineRule="exact"/>
              <w:rPr>
                <w:sz w:val="20"/>
                <w:szCs w:val="20"/>
                <w:color w:val="auto"/>
              </w:rPr>
            </w:pPr>
            <w:r>
              <w:rPr>
                <w:rFonts w:ascii="Arial" w:cs="Arial" w:eastAsia="Arial" w:hAnsi="Arial"/>
                <w:sz w:val="14"/>
                <w:szCs w:val="14"/>
                <w:b w:val="1"/>
                <w:bCs w:val="1"/>
                <w:color w:val="auto"/>
              </w:rPr>
              <w:t>BCP Stand-alone</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52,659</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56,165</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57,636</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2.6%</w:t>
            </w:r>
          </w:p>
        </w:tc>
        <w:tc>
          <w:tcPr>
            <w:tcW w:w="70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9.5%</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9,919</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10,075</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10,132</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rPr>
              <w:t>0.6%</w:t>
            </w:r>
          </w:p>
        </w:tc>
        <w:tc>
          <w:tcPr>
            <w:tcW w:w="800" w:type="dxa"/>
            <w:vAlign w:val="bottom"/>
            <w:gridSpan w:val="2"/>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2.1%</w:t>
            </w:r>
          </w:p>
        </w:tc>
        <w:tc>
          <w:tcPr>
            <w:tcW w:w="820" w:type="dxa"/>
            <w:vAlign w:val="bottom"/>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rPr>
              <w:t>62.9%</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37.1%</w:t>
            </w:r>
          </w:p>
        </w:tc>
      </w:tr>
      <w:tr>
        <w:trPr>
          <w:trHeight w:val="149"/>
        </w:trPr>
        <w:tc>
          <w:tcPr>
            <w:tcW w:w="196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Wholesale Banking</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20,149</w:t>
            </w:r>
          </w:p>
        </w:tc>
        <w:tc>
          <w:tcPr>
            <w:tcW w:w="92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19,876</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19,964</w:t>
            </w:r>
          </w:p>
        </w:tc>
        <w:tc>
          <w:tcPr>
            <w:tcW w:w="800" w:type="dxa"/>
            <w:vAlign w:val="bottom"/>
            <w:gridSpan w:val="2"/>
          </w:tcPr>
          <w:p>
            <w:pPr>
              <w:jc w:val="right"/>
              <w:ind w:right="28"/>
              <w:spacing w:after="0" w:line="149" w:lineRule="exact"/>
              <w:rPr>
                <w:sz w:val="20"/>
                <w:szCs w:val="20"/>
                <w:color w:val="auto"/>
              </w:rPr>
            </w:pPr>
            <w:r>
              <w:rPr>
                <w:rFonts w:ascii="Arial" w:cs="Arial" w:eastAsia="Arial" w:hAnsi="Arial"/>
                <w:sz w:val="14"/>
                <w:szCs w:val="14"/>
                <w:b w:val="1"/>
                <w:bCs w:val="1"/>
                <w:color w:val="auto"/>
              </w:rPr>
              <w:t>0.4%</w:t>
            </w:r>
          </w:p>
        </w:tc>
        <w:tc>
          <w:tcPr>
            <w:tcW w:w="7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-0.9%</w:t>
            </w:r>
          </w:p>
        </w:tc>
        <w:tc>
          <w:tcPr>
            <w:tcW w:w="12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7,544</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7,829</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7,873</w:t>
            </w:r>
          </w:p>
        </w:tc>
        <w:tc>
          <w:tcPr>
            <w:tcW w:w="820" w:type="dxa"/>
            <w:vAlign w:val="bottom"/>
            <w:gridSpan w:val="2"/>
          </w:tcPr>
          <w:p>
            <w:pPr>
              <w:jc w:val="right"/>
              <w:ind w:right="48"/>
              <w:spacing w:after="0" w:line="149" w:lineRule="exact"/>
              <w:rPr>
                <w:sz w:val="20"/>
                <w:szCs w:val="20"/>
                <w:color w:val="auto"/>
              </w:rPr>
            </w:pPr>
            <w:r>
              <w:rPr>
                <w:rFonts w:ascii="Arial" w:cs="Arial" w:eastAsia="Arial" w:hAnsi="Arial"/>
                <w:sz w:val="14"/>
                <w:szCs w:val="14"/>
                <w:b w:val="1"/>
                <w:bCs w:val="1"/>
                <w:color w:val="auto"/>
              </w:rPr>
              <w:t>0.6%</w:t>
            </w:r>
          </w:p>
        </w:tc>
        <w:tc>
          <w:tcPr>
            <w:tcW w:w="800" w:type="dxa"/>
            <w:vAlign w:val="bottom"/>
            <w:gridSpan w:val="2"/>
          </w:tcPr>
          <w:p>
            <w:pPr>
              <w:jc w:val="right"/>
              <w:ind w:right="28"/>
              <w:spacing w:after="0" w:line="149" w:lineRule="exact"/>
              <w:rPr>
                <w:sz w:val="20"/>
                <w:szCs w:val="20"/>
                <w:color w:val="auto"/>
              </w:rPr>
            </w:pPr>
            <w:r>
              <w:rPr>
                <w:rFonts w:ascii="Arial" w:cs="Arial" w:eastAsia="Arial" w:hAnsi="Arial"/>
                <w:sz w:val="14"/>
                <w:szCs w:val="14"/>
                <w:b w:val="1"/>
                <w:bCs w:val="1"/>
                <w:color w:val="auto"/>
              </w:rPr>
              <w:t>4.4%</w:t>
            </w:r>
          </w:p>
        </w:tc>
        <w:tc>
          <w:tcPr>
            <w:tcW w:w="820" w:type="dxa"/>
            <w:vAlign w:val="bottom"/>
            <w:gridSpan w:val="2"/>
          </w:tcPr>
          <w:p>
            <w:pPr>
              <w:jc w:val="right"/>
              <w:ind w:right="48"/>
              <w:spacing w:after="0" w:line="149" w:lineRule="exact"/>
              <w:rPr>
                <w:sz w:val="20"/>
                <w:szCs w:val="20"/>
                <w:color w:val="auto"/>
              </w:rPr>
            </w:pPr>
            <w:r>
              <w:rPr>
                <w:rFonts w:ascii="Arial" w:cs="Arial" w:eastAsia="Arial" w:hAnsi="Arial"/>
                <w:sz w:val="14"/>
                <w:szCs w:val="14"/>
                <w:b w:val="1"/>
                <w:bCs w:val="1"/>
                <w:color w:val="auto"/>
              </w:rPr>
              <w:t>43.0%</w:t>
            </w: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57.0%</w:t>
            </w:r>
          </w:p>
        </w:tc>
      </w:tr>
      <w:tr>
        <w:trPr>
          <w:trHeight w:val="149"/>
        </w:trPr>
        <w:tc>
          <w:tcPr>
            <w:tcW w:w="196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Corporate</w:t>
            </w:r>
          </w:p>
        </w:tc>
        <w:tc>
          <w:tcPr>
            <w:tcW w:w="5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11,775</w:t>
            </w:r>
          </w:p>
        </w:tc>
        <w:tc>
          <w:tcPr>
            <w:tcW w:w="12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11,581</w:t>
            </w:r>
          </w:p>
        </w:tc>
        <w:tc>
          <w:tcPr>
            <w:tcW w:w="78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11,320</w:t>
            </w:r>
          </w:p>
        </w:tc>
        <w:tc>
          <w:tcPr>
            <w:tcW w:w="800" w:type="dxa"/>
            <w:vAlign w:val="bottom"/>
            <w:gridSpan w:val="2"/>
            <w:shd w:val="clear" w:color="auto" w:fill="FDE9D9"/>
          </w:tcPr>
          <w:p>
            <w:pPr>
              <w:jc w:val="right"/>
              <w:ind w:right="48"/>
              <w:spacing w:after="0" w:line="130" w:lineRule="exact"/>
              <w:rPr>
                <w:sz w:val="20"/>
                <w:szCs w:val="20"/>
                <w:color w:val="auto"/>
              </w:rPr>
            </w:pPr>
            <w:r>
              <w:rPr>
                <w:rFonts w:ascii="Arial" w:cs="Arial" w:eastAsia="Arial" w:hAnsi="Arial"/>
                <w:sz w:val="14"/>
                <w:szCs w:val="14"/>
                <w:color w:val="auto"/>
              </w:rPr>
              <w:t>-2.3%</w:t>
            </w:r>
          </w:p>
        </w:tc>
        <w:tc>
          <w:tcPr>
            <w:tcW w:w="700" w:type="dxa"/>
            <w:vAlign w:val="bottom"/>
            <w:gridSpan w:val="3"/>
            <w:shd w:val="clear" w:color="auto" w:fill="FDE9D9"/>
          </w:tcPr>
          <w:p>
            <w:pPr>
              <w:jc w:val="right"/>
              <w:spacing w:after="0" w:line="130" w:lineRule="exact"/>
              <w:rPr>
                <w:sz w:val="20"/>
                <w:szCs w:val="20"/>
                <w:color w:val="auto"/>
              </w:rPr>
            </w:pPr>
            <w:r>
              <w:rPr>
                <w:rFonts w:ascii="Arial" w:cs="Arial" w:eastAsia="Arial" w:hAnsi="Arial"/>
                <w:sz w:val="14"/>
                <w:szCs w:val="14"/>
                <w:color w:val="auto"/>
              </w:rPr>
              <w:t>-3.9%</w:t>
            </w:r>
          </w:p>
        </w:tc>
        <w:tc>
          <w:tcPr>
            <w:tcW w:w="120" w:type="dxa"/>
            <w:vAlign w:val="bottom"/>
            <w:shd w:val="clear" w:color="auto" w:fill="FDE9D9"/>
          </w:tcPr>
          <w:p>
            <w:pPr>
              <w:spacing w:after="0"/>
              <w:rPr>
                <w:sz w:val="12"/>
                <w:szCs w:val="12"/>
                <w:color w:val="auto"/>
              </w:rPr>
            </w:pPr>
          </w:p>
        </w:tc>
        <w:tc>
          <w:tcPr>
            <w:tcW w:w="7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4,780</w:t>
            </w:r>
          </w:p>
        </w:tc>
        <w:tc>
          <w:tcPr>
            <w:tcW w:w="78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4,962</w:t>
            </w:r>
          </w:p>
        </w:tc>
        <w:tc>
          <w:tcPr>
            <w:tcW w:w="7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4,969</w:t>
            </w:r>
          </w:p>
        </w:tc>
        <w:tc>
          <w:tcPr>
            <w:tcW w:w="820" w:type="dxa"/>
            <w:vAlign w:val="bottom"/>
            <w:gridSpan w:val="2"/>
            <w:shd w:val="clear" w:color="auto" w:fill="CCEEFF"/>
          </w:tcPr>
          <w:p>
            <w:pPr>
              <w:jc w:val="right"/>
              <w:ind w:right="68"/>
              <w:spacing w:after="0" w:line="130" w:lineRule="exact"/>
              <w:rPr>
                <w:sz w:val="20"/>
                <w:szCs w:val="20"/>
                <w:color w:val="auto"/>
              </w:rPr>
            </w:pPr>
            <w:r>
              <w:rPr>
                <w:rFonts w:ascii="Arial" w:cs="Arial" w:eastAsia="Arial" w:hAnsi="Arial"/>
                <w:sz w:val="14"/>
                <w:szCs w:val="14"/>
                <w:color w:val="auto"/>
              </w:rPr>
              <w:t>0.1%</w:t>
            </w:r>
          </w:p>
        </w:tc>
        <w:tc>
          <w:tcPr>
            <w:tcW w:w="800" w:type="dxa"/>
            <w:vAlign w:val="bottom"/>
            <w:gridSpan w:val="2"/>
            <w:shd w:val="clear" w:color="auto" w:fill="C5D9F1"/>
          </w:tcPr>
          <w:p>
            <w:pPr>
              <w:jc w:val="right"/>
              <w:ind w:right="48"/>
              <w:spacing w:after="0" w:line="130" w:lineRule="exact"/>
              <w:rPr>
                <w:sz w:val="20"/>
                <w:szCs w:val="20"/>
                <w:color w:val="auto"/>
              </w:rPr>
            </w:pPr>
            <w:r>
              <w:rPr>
                <w:rFonts w:ascii="Arial" w:cs="Arial" w:eastAsia="Arial" w:hAnsi="Arial"/>
                <w:sz w:val="14"/>
                <w:szCs w:val="14"/>
                <w:color w:val="auto"/>
              </w:rPr>
              <w:t>3.9%</w:t>
            </w:r>
          </w:p>
        </w:tc>
        <w:tc>
          <w:tcPr>
            <w:tcW w:w="820" w:type="dxa"/>
            <w:vAlign w:val="bottom"/>
            <w:gridSpan w:val="2"/>
            <w:shd w:val="clear" w:color="auto" w:fill="CCEEFF"/>
          </w:tcPr>
          <w:p>
            <w:pPr>
              <w:jc w:val="right"/>
              <w:ind w:right="68"/>
              <w:spacing w:after="0" w:line="130" w:lineRule="exact"/>
              <w:rPr>
                <w:sz w:val="20"/>
                <w:szCs w:val="20"/>
                <w:color w:val="auto"/>
              </w:rPr>
            </w:pPr>
            <w:r>
              <w:rPr>
                <w:rFonts w:ascii="Arial" w:cs="Arial" w:eastAsia="Arial" w:hAnsi="Arial"/>
                <w:sz w:val="14"/>
                <w:szCs w:val="14"/>
                <w:color w:val="auto"/>
              </w:rPr>
              <w:t>40.4%</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59.6%</w:t>
            </w:r>
          </w:p>
        </w:tc>
      </w:tr>
      <w:tr>
        <w:trPr>
          <w:trHeight w:val="149"/>
        </w:trPr>
        <w:tc>
          <w:tcPr>
            <w:tcW w:w="1960" w:type="dxa"/>
            <w:vAlign w:val="bottom"/>
          </w:tcPr>
          <w:p>
            <w:pPr>
              <w:ind w:left="260"/>
              <w:spacing w:after="0" w:line="149" w:lineRule="exact"/>
              <w:rPr>
                <w:sz w:val="20"/>
                <w:szCs w:val="20"/>
                <w:color w:val="auto"/>
              </w:rPr>
            </w:pPr>
            <w:r>
              <w:rPr>
                <w:rFonts w:ascii="Arial" w:cs="Arial" w:eastAsia="Arial" w:hAnsi="Arial"/>
                <w:sz w:val="14"/>
                <w:szCs w:val="14"/>
                <w:color w:val="auto"/>
              </w:rPr>
              <w:t>Middle-Market</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8,374</w:t>
            </w:r>
          </w:p>
        </w:tc>
        <w:tc>
          <w:tcPr>
            <w:tcW w:w="9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8,295</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8,644</w:t>
            </w:r>
          </w:p>
        </w:tc>
        <w:tc>
          <w:tcPr>
            <w:tcW w:w="800" w:type="dxa"/>
            <w:vAlign w:val="bottom"/>
            <w:gridSpan w:val="2"/>
            <w:shd w:val="clear" w:color="auto" w:fill="C5D9F1"/>
          </w:tcPr>
          <w:p>
            <w:pPr>
              <w:jc w:val="right"/>
              <w:ind w:right="48"/>
              <w:spacing w:after="0" w:line="149" w:lineRule="exact"/>
              <w:rPr>
                <w:sz w:val="20"/>
                <w:szCs w:val="20"/>
                <w:color w:val="auto"/>
              </w:rPr>
            </w:pPr>
            <w:r>
              <w:rPr>
                <w:rFonts w:ascii="Arial" w:cs="Arial" w:eastAsia="Arial" w:hAnsi="Arial"/>
                <w:sz w:val="14"/>
                <w:szCs w:val="14"/>
                <w:color w:val="auto"/>
              </w:rPr>
              <w:t>4.2%</w:t>
            </w:r>
          </w:p>
        </w:tc>
        <w:tc>
          <w:tcPr>
            <w:tcW w:w="7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3.2%</w:t>
            </w:r>
          </w:p>
        </w:tc>
        <w:tc>
          <w:tcPr>
            <w:tcW w:w="12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2,763</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2,867</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2,905</w:t>
            </w:r>
          </w:p>
        </w:tc>
        <w:tc>
          <w:tcPr>
            <w:tcW w:w="820" w:type="dxa"/>
            <w:vAlign w:val="bottom"/>
            <w:gridSpan w:val="2"/>
            <w:shd w:val="clear" w:color="auto" w:fill="C5D9F1"/>
          </w:tcPr>
          <w:p>
            <w:pPr>
              <w:jc w:val="right"/>
              <w:ind w:right="68"/>
              <w:spacing w:after="0" w:line="149" w:lineRule="exact"/>
              <w:rPr>
                <w:sz w:val="20"/>
                <w:szCs w:val="20"/>
                <w:color w:val="auto"/>
              </w:rPr>
            </w:pPr>
            <w:r>
              <w:rPr>
                <w:rFonts w:ascii="Arial" w:cs="Arial" w:eastAsia="Arial" w:hAnsi="Arial"/>
                <w:sz w:val="14"/>
                <w:szCs w:val="14"/>
                <w:color w:val="auto"/>
              </w:rPr>
              <w:t>1.3%</w:t>
            </w:r>
          </w:p>
        </w:tc>
        <w:tc>
          <w:tcPr>
            <w:tcW w:w="800" w:type="dxa"/>
            <w:vAlign w:val="bottom"/>
            <w:gridSpan w:val="2"/>
            <w:shd w:val="clear" w:color="auto" w:fill="C5D9F1"/>
          </w:tcPr>
          <w:p>
            <w:pPr>
              <w:jc w:val="right"/>
              <w:ind w:right="48"/>
              <w:spacing w:after="0" w:line="149" w:lineRule="exact"/>
              <w:rPr>
                <w:sz w:val="20"/>
                <w:szCs w:val="20"/>
                <w:color w:val="auto"/>
              </w:rPr>
            </w:pPr>
            <w:r>
              <w:rPr>
                <w:rFonts w:ascii="Arial" w:cs="Arial" w:eastAsia="Arial" w:hAnsi="Arial"/>
                <w:sz w:val="14"/>
                <w:szCs w:val="14"/>
                <w:color w:val="auto"/>
              </w:rPr>
              <w:t>5.1%</w:t>
            </w: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47.0%</w:t>
            </w: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53.0%</w:t>
            </w:r>
          </w:p>
        </w:tc>
      </w:tr>
      <w:tr>
        <w:trPr>
          <w:trHeight w:val="149"/>
        </w:trPr>
        <w:tc>
          <w:tcPr>
            <w:tcW w:w="19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b w:val="1"/>
                <w:bCs w:val="1"/>
                <w:color w:val="auto"/>
              </w:rPr>
              <w:t>Retail Banking</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32,510</w:t>
            </w:r>
          </w:p>
        </w:tc>
        <w:tc>
          <w:tcPr>
            <w:tcW w:w="9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36,289</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37,672</w:t>
            </w:r>
          </w:p>
        </w:tc>
        <w:tc>
          <w:tcPr>
            <w:tcW w:w="8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3.8%</w:t>
            </w:r>
          </w:p>
        </w:tc>
        <w:tc>
          <w:tcPr>
            <w:tcW w:w="7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15.9%</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2,376</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2,246</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2,258</w:t>
            </w:r>
          </w:p>
        </w:tc>
        <w:tc>
          <w:tcPr>
            <w:tcW w:w="8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0.6%</w:t>
            </w:r>
          </w:p>
        </w:tc>
        <w:tc>
          <w:tcPr>
            <w:tcW w:w="8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-4.9%</w:t>
            </w:r>
          </w:p>
        </w:tc>
        <w:tc>
          <w:tcPr>
            <w:tcW w:w="8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83.2%</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16.8%</w:t>
            </w:r>
          </w:p>
        </w:tc>
      </w:tr>
      <w:tr>
        <w:trPr>
          <w:trHeight w:val="149"/>
        </w:trPr>
        <w:tc>
          <w:tcPr>
            <w:tcW w:w="1960" w:type="dxa"/>
            <w:vAlign w:val="bottom"/>
          </w:tcPr>
          <w:p>
            <w:pPr>
              <w:ind w:left="260"/>
              <w:spacing w:after="0" w:line="149" w:lineRule="exact"/>
              <w:rPr>
                <w:sz w:val="20"/>
                <w:szCs w:val="20"/>
                <w:color w:val="auto"/>
              </w:rPr>
            </w:pPr>
            <w:r>
              <w:rPr>
                <w:rFonts w:ascii="Arial" w:cs="Arial" w:eastAsia="Arial" w:hAnsi="Arial"/>
                <w:sz w:val="14"/>
                <w:szCs w:val="14"/>
                <w:color w:val="auto"/>
              </w:rPr>
              <w:t>SME - Business</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2,484</w:t>
            </w:r>
          </w:p>
        </w:tc>
        <w:tc>
          <w:tcPr>
            <w:tcW w:w="9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2,542</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2,614</w:t>
            </w: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2.9%</w:t>
            </w:r>
          </w:p>
        </w:tc>
        <w:tc>
          <w:tcPr>
            <w:tcW w:w="7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5.2%</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881</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843</w:t>
            </w:r>
          </w:p>
        </w:tc>
        <w:tc>
          <w:tcPr>
            <w:tcW w:w="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871</w:t>
            </w:r>
          </w:p>
        </w:tc>
        <w:tc>
          <w:tcPr>
            <w:tcW w:w="20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3.4%</w:t>
            </w: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-1.2%</w:t>
            </w: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47.2%</w:t>
            </w: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52.8%</w:t>
            </w:r>
          </w:p>
        </w:tc>
      </w:tr>
      <w:tr>
        <w:trPr>
          <w:trHeight w:val="149"/>
        </w:trPr>
        <w:tc>
          <w:tcPr>
            <w:tcW w:w="196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SME - Pyme</w:t>
            </w:r>
          </w:p>
        </w:tc>
        <w:tc>
          <w:tcPr>
            <w:tcW w:w="70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8,672</w:t>
            </w:r>
          </w:p>
        </w:tc>
        <w:tc>
          <w:tcPr>
            <w:tcW w:w="920" w:type="dxa"/>
            <w:vAlign w:val="bottom"/>
            <w:gridSpan w:val="3"/>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9,324</w:t>
            </w:r>
          </w:p>
        </w:tc>
        <w:tc>
          <w:tcPr>
            <w:tcW w:w="78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9,628</w:t>
            </w:r>
          </w:p>
        </w:tc>
        <w:tc>
          <w:tcPr>
            <w:tcW w:w="800" w:type="dxa"/>
            <w:vAlign w:val="bottom"/>
            <w:gridSpan w:val="2"/>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3.3%</w:t>
            </w:r>
          </w:p>
        </w:tc>
        <w:tc>
          <w:tcPr>
            <w:tcW w:w="120" w:type="dxa"/>
            <w:vAlign w:val="bottom"/>
            <w:shd w:val="clear" w:color="auto" w:fill="C5D9F1"/>
          </w:tcPr>
          <w:p>
            <w:pPr>
              <w:spacing w:after="0"/>
              <w:rPr>
                <w:sz w:val="12"/>
                <w:szCs w:val="12"/>
                <w:color w:val="auto"/>
              </w:rPr>
            </w:pPr>
          </w:p>
        </w:tc>
        <w:tc>
          <w:tcPr>
            <w:tcW w:w="580" w:type="dxa"/>
            <w:vAlign w:val="bottom"/>
            <w:gridSpan w:val="2"/>
            <w:shd w:val="clear" w:color="auto" w:fill="C5D9F1"/>
          </w:tcPr>
          <w:p>
            <w:pPr>
              <w:jc w:val="right"/>
              <w:spacing w:after="0" w:line="130" w:lineRule="exact"/>
              <w:rPr>
                <w:sz w:val="20"/>
                <w:szCs w:val="20"/>
                <w:color w:val="auto"/>
              </w:rPr>
            </w:pPr>
            <w:r>
              <w:rPr>
                <w:rFonts w:ascii="Arial" w:cs="Arial" w:eastAsia="Arial" w:hAnsi="Arial"/>
                <w:sz w:val="14"/>
                <w:szCs w:val="14"/>
                <w:color w:val="auto"/>
              </w:rPr>
              <w:t>11.0%</w:t>
            </w:r>
          </w:p>
        </w:tc>
        <w:tc>
          <w:tcPr>
            <w:tcW w:w="120" w:type="dxa"/>
            <w:vAlign w:val="bottom"/>
            <w:shd w:val="clear" w:color="auto" w:fill="C5D9F1"/>
          </w:tcPr>
          <w:p>
            <w:pPr>
              <w:spacing w:after="0"/>
              <w:rPr>
                <w:sz w:val="12"/>
                <w:szCs w:val="12"/>
                <w:color w:val="auto"/>
              </w:rPr>
            </w:pPr>
          </w:p>
        </w:tc>
        <w:tc>
          <w:tcPr>
            <w:tcW w:w="5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81</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70</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66</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8"/>
              <w:spacing w:after="0" w:line="130" w:lineRule="exact"/>
              <w:rPr>
                <w:sz w:val="20"/>
                <w:szCs w:val="20"/>
                <w:color w:val="auto"/>
              </w:rPr>
            </w:pPr>
            <w:r>
              <w:rPr>
                <w:rFonts w:ascii="Arial" w:cs="Arial" w:eastAsia="Arial" w:hAnsi="Arial"/>
                <w:sz w:val="14"/>
                <w:szCs w:val="14"/>
                <w:color w:val="auto"/>
              </w:rPr>
              <w:t>-5.8%</w:t>
            </w:r>
          </w:p>
        </w:tc>
        <w:tc>
          <w:tcPr>
            <w:tcW w:w="800" w:type="dxa"/>
            <w:vAlign w:val="bottom"/>
            <w:gridSpan w:val="2"/>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-18.3%</w:t>
            </w:r>
          </w:p>
        </w:tc>
        <w:tc>
          <w:tcPr>
            <w:tcW w:w="820" w:type="dxa"/>
            <w:vAlign w:val="bottom"/>
            <w:gridSpan w:val="2"/>
            <w:shd w:val="clear" w:color="auto" w:fill="CCEEFF"/>
          </w:tcPr>
          <w:p>
            <w:pPr>
              <w:jc w:val="right"/>
              <w:ind w:right="68"/>
              <w:spacing w:after="0" w:line="130" w:lineRule="exact"/>
              <w:rPr>
                <w:sz w:val="20"/>
                <w:szCs w:val="20"/>
                <w:color w:val="auto"/>
              </w:rPr>
            </w:pPr>
            <w:r>
              <w:rPr>
                <w:rFonts w:ascii="Arial" w:cs="Arial" w:eastAsia="Arial" w:hAnsi="Arial"/>
                <w:sz w:val="14"/>
                <w:szCs w:val="14"/>
                <w:color w:val="auto"/>
              </w:rPr>
              <w:t>97.7%</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2.3%</w:t>
            </w:r>
          </w:p>
        </w:tc>
      </w:tr>
      <w:tr>
        <w:trPr>
          <w:trHeight w:val="149"/>
        </w:trPr>
        <w:tc>
          <w:tcPr>
            <w:tcW w:w="1960" w:type="dxa"/>
            <w:vAlign w:val="bottom"/>
          </w:tcPr>
          <w:p>
            <w:pPr>
              <w:ind w:left="260"/>
              <w:spacing w:after="0" w:line="130" w:lineRule="exact"/>
              <w:rPr>
                <w:sz w:val="20"/>
                <w:szCs w:val="20"/>
                <w:color w:val="auto"/>
              </w:rPr>
            </w:pPr>
            <w:r>
              <w:rPr>
                <w:rFonts w:ascii="Arial" w:cs="Arial" w:eastAsia="Arial" w:hAnsi="Arial"/>
                <w:sz w:val="14"/>
                <w:szCs w:val="14"/>
                <w:color w:val="auto"/>
              </w:rPr>
              <w:t>Mortgage</w:t>
            </w:r>
          </w:p>
        </w:tc>
        <w:tc>
          <w:tcPr>
            <w:tcW w:w="580" w:type="dxa"/>
            <w:vAlign w:val="bottom"/>
          </w:tcPr>
          <w:p>
            <w:pPr>
              <w:jc w:val="right"/>
              <w:spacing w:after="0" w:line="130" w:lineRule="exact"/>
              <w:rPr>
                <w:sz w:val="20"/>
                <w:szCs w:val="20"/>
                <w:color w:val="auto"/>
              </w:rPr>
            </w:pPr>
            <w:r>
              <w:rPr>
                <w:rFonts w:ascii="Arial" w:cs="Arial" w:eastAsia="Arial" w:hAnsi="Arial"/>
                <w:sz w:val="14"/>
                <w:szCs w:val="14"/>
                <w:color w:val="auto"/>
              </w:rPr>
              <w:t>11,328</w:t>
            </w:r>
          </w:p>
        </w:tc>
        <w:tc>
          <w:tcPr>
            <w:tcW w:w="120" w:type="dxa"/>
            <w:vAlign w:val="bottom"/>
          </w:tcPr>
          <w:p>
            <w:pPr>
              <w:spacing w:after="0"/>
              <w:rPr>
                <w:sz w:val="12"/>
                <w:szCs w:val="12"/>
                <w:color w:val="auto"/>
              </w:rPr>
            </w:pPr>
          </w:p>
        </w:tc>
        <w:tc>
          <w:tcPr>
            <w:tcW w:w="920" w:type="dxa"/>
            <w:vAlign w:val="bottom"/>
            <w:gridSpan w:val="3"/>
          </w:tcPr>
          <w:p>
            <w:pPr>
              <w:jc w:val="right"/>
              <w:ind w:right="200"/>
              <w:spacing w:after="0" w:line="130" w:lineRule="exact"/>
              <w:rPr>
                <w:sz w:val="20"/>
                <w:szCs w:val="20"/>
                <w:color w:val="auto"/>
              </w:rPr>
            </w:pPr>
            <w:r>
              <w:rPr>
                <w:rFonts w:ascii="Arial" w:cs="Arial" w:eastAsia="Arial" w:hAnsi="Arial"/>
                <w:sz w:val="14"/>
                <w:szCs w:val="14"/>
                <w:color w:val="auto"/>
              </w:rPr>
              <w:t>13,008</w:t>
            </w:r>
          </w:p>
        </w:tc>
        <w:tc>
          <w:tcPr>
            <w:tcW w:w="78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13,632</w:t>
            </w:r>
          </w:p>
        </w:tc>
        <w:tc>
          <w:tcPr>
            <w:tcW w:w="800" w:type="dxa"/>
            <w:vAlign w:val="bottom"/>
            <w:gridSpan w:val="2"/>
            <w:shd w:val="clear" w:color="auto" w:fill="C5D9F1"/>
          </w:tcPr>
          <w:p>
            <w:pPr>
              <w:jc w:val="right"/>
              <w:ind w:right="48"/>
              <w:spacing w:after="0" w:line="130" w:lineRule="exact"/>
              <w:rPr>
                <w:sz w:val="20"/>
                <w:szCs w:val="20"/>
                <w:color w:val="auto"/>
              </w:rPr>
            </w:pPr>
            <w:r>
              <w:rPr>
                <w:rFonts w:ascii="Arial" w:cs="Arial" w:eastAsia="Arial" w:hAnsi="Arial"/>
                <w:sz w:val="14"/>
                <w:szCs w:val="14"/>
                <w:color w:val="auto"/>
              </w:rPr>
              <w:t>4.8%</w:t>
            </w:r>
          </w:p>
        </w:tc>
        <w:tc>
          <w:tcPr>
            <w:tcW w:w="120" w:type="dxa"/>
            <w:vAlign w:val="bottom"/>
            <w:shd w:val="clear" w:color="auto" w:fill="C5D9F1"/>
          </w:tcPr>
          <w:p>
            <w:pPr>
              <w:spacing w:after="0"/>
              <w:rPr>
                <w:sz w:val="12"/>
                <w:szCs w:val="12"/>
                <w:color w:val="auto"/>
              </w:rPr>
            </w:pPr>
          </w:p>
        </w:tc>
        <w:tc>
          <w:tcPr>
            <w:tcW w:w="580" w:type="dxa"/>
            <w:vAlign w:val="bottom"/>
            <w:gridSpan w:val="2"/>
            <w:shd w:val="clear" w:color="auto" w:fill="C5D9F1"/>
          </w:tcPr>
          <w:p>
            <w:pPr>
              <w:jc w:val="right"/>
              <w:spacing w:after="0" w:line="149" w:lineRule="exact"/>
              <w:rPr>
                <w:sz w:val="20"/>
                <w:szCs w:val="20"/>
                <w:color w:val="auto"/>
              </w:rPr>
            </w:pPr>
            <w:r>
              <w:rPr>
                <w:rFonts w:ascii="Arial" w:cs="Arial" w:eastAsia="Arial" w:hAnsi="Arial"/>
                <w:sz w:val="14"/>
                <w:szCs w:val="14"/>
                <w:color w:val="auto"/>
              </w:rPr>
              <w:t>20.3%</w:t>
            </w:r>
          </w:p>
        </w:tc>
        <w:tc>
          <w:tcPr>
            <w:tcW w:w="120" w:type="dxa"/>
            <w:vAlign w:val="bottom"/>
            <w:shd w:val="clear" w:color="auto" w:fill="C5D9F1"/>
          </w:tcPr>
          <w:p>
            <w:pPr>
              <w:spacing w:after="0"/>
              <w:rPr>
                <w:sz w:val="12"/>
                <w:szCs w:val="12"/>
                <w:color w:val="auto"/>
              </w:rPr>
            </w:pPr>
          </w:p>
        </w:tc>
        <w:tc>
          <w:tcPr>
            <w:tcW w:w="560" w:type="dxa"/>
            <w:vAlign w:val="bottom"/>
          </w:tcPr>
          <w:p>
            <w:pPr>
              <w:jc w:val="right"/>
              <w:spacing w:after="0" w:line="130" w:lineRule="exact"/>
              <w:rPr>
                <w:sz w:val="20"/>
                <w:szCs w:val="20"/>
                <w:color w:val="auto"/>
              </w:rPr>
            </w:pPr>
            <w:r>
              <w:rPr>
                <w:rFonts w:ascii="Arial" w:cs="Arial" w:eastAsia="Arial" w:hAnsi="Arial"/>
                <w:sz w:val="14"/>
                <w:szCs w:val="14"/>
                <w:color w:val="auto"/>
              </w:rPr>
              <w:t>861</w:t>
            </w:r>
          </w:p>
        </w:tc>
        <w:tc>
          <w:tcPr>
            <w:tcW w:w="200" w:type="dxa"/>
            <w:vAlign w:val="bottom"/>
          </w:tcPr>
          <w:p>
            <w:pPr>
              <w:spacing w:after="0"/>
              <w:rPr>
                <w:sz w:val="12"/>
                <w:szCs w:val="12"/>
                <w:color w:val="auto"/>
              </w:rPr>
            </w:pPr>
          </w:p>
        </w:tc>
        <w:tc>
          <w:tcPr>
            <w:tcW w:w="560" w:type="dxa"/>
            <w:vAlign w:val="bottom"/>
          </w:tcPr>
          <w:p>
            <w:pPr>
              <w:jc w:val="right"/>
              <w:spacing w:after="0" w:line="130" w:lineRule="exact"/>
              <w:rPr>
                <w:sz w:val="20"/>
                <w:szCs w:val="20"/>
                <w:color w:val="auto"/>
              </w:rPr>
            </w:pPr>
            <w:r>
              <w:rPr>
                <w:rFonts w:ascii="Arial" w:cs="Arial" w:eastAsia="Arial" w:hAnsi="Arial"/>
                <w:sz w:val="14"/>
                <w:szCs w:val="14"/>
                <w:color w:val="auto"/>
              </w:rPr>
              <w:t>762</w:t>
            </w:r>
          </w:p>
        </w:tc>
        <w:tc>
          <w:tcPr>
            <w:tcW w:w="220" w:type="dxa"/>
            <w:vAlign w:val="bottom"/>
          </w:tcPr>
          <w:p>
            <w:pPr>
              <w:spacing w:after="0"/>
              <w:rPr>
                <w:sz w:val="12"/>
                <w:szCs w:val="12"/>
                <w:color w:val="auto"/>
              </w:rPr>
            </w:pPr>
          </w:p>
        </w:tc>
        <w:tc>
          <w:tcPr>
            <w:tcW w:w="560" w:type="dxa"/>
            <w:vAlign w:val="bottom"/>
          </w:tcPr>
          <w:p>
            <w:pPr>
              <w:jc w:val="right"/>
              <w:spacing w:after="0" w:line="130" w:lineRule="exact"/>
              <w:rPr>
                <w:sz w:val="20"/>
                <w:szCs w:val="20"/>
                <w:color w:val="auto"/>
              </w:rPr>
            </w:pPr>
            <w:r>
              <w:rPr>
                <w:rFonts w:ascii="Arial" w:cs="Arial" w:eastAsia="Arial" w:hAnsi="Arial"/>
                <w:sz w:val="14"/>
                <w:szCs w:val="14"/>
                <w:color w:val="auto"/>
              </w:rPr>
              <w:t>733</w:t>
            </w:r>
          </w:p>
        </w:tc>
        <w:tc>
          <w:tcPr>
            <w:tcW w:w="200" w:type="dxa"/>
            <w:vAlign w:val="bottom"/>
          </w:tcPr>
          <w:p>
            <w:pPr>
              <w:spacing w:after="0"/>
              <w:rPr>
                <w:sz w:val="12"/>
                <w:szCs w:val="12"/>
                <w:color w:val="auto"/>
              </w:rPr>
            </w:pPr>
          </w:p>
        </w:tc>
        <w:tc>
          <w:tcPr>
            <w:tcW w:w="820" w:type="dxa"/>
            <w:vAlign w:val="bottom"/>
            <w:gridSpan w:val="2"/>
            <w:shd w:val="clear" w:color="auto" w:fill="FDE9D9"/>
          </w:tcPr>
          <w:p>
            <w:pPr>
              <w:jc w:val="right"/>
              <w:ind w:right="68"/>
              <w:spacing w:after="0" w:line="130" w:lineRule="exact"/>
              <w:rPr>
                <w:sz w:val="20"/>
                <w:szCs w:val="20"/>
                <w:color w:val="auto"/>
              </w:rPr>
            </w:pPr>
            <w:r>
              <w:rPr>
                <w:rFonts w:ascii="Arial" w:cs="Arial" w:eastAsia="Arial" w:hAnsi="Arial"/>
                <w:sz w:val="14"/>
                <w:szCs w:val="14"/>
                <w:color w:val="auto"/>
              </w:rPr>
              <w:t>-3.9%</w:t>
            </w:r>
          </w:p>
        </w:tc>
        <w:tc>
          <w:tcPr>
            <w:tcW w:w="800" w:type="dxa"/>
            <w:vAlign w:val="bottom"/>
            <w:gridSpan w:val="2"/>
            <w:shd w:val="clear" w:color="auto" w:fill="FDE9D9"/>
          </w:tcPr>
          <w:p>
            <w:pPr>
              <w:jc w:val="right"/>
              <w:ind w:right="48"/>
              <w:spacing w:after="0" w:line="130" w:lineRule="exact"/>
              <w:rPr>
                <w:sz w:val="20"/>
                <w:szCs w:val="20"/>
                <w:color w:val="auto"/>
              </w:rPr>
            </w:pPr>
            <w:r>
              <w:rPr>
                <w:rFonts w:ascii="Arial" w:cs="Arial" w:eastAsia="Arial" w:hAnsi="Arial"/>
                <w:sz w:val="14"/>
                <w:szCs w:val="14"/>
                <w:color w:val="auto"/>
              </w:rPr>
              <w:t>-14.9%</w:t>
            </w:r>
          </w:p>
        </w:tc>
        <w:tc>
          <w:tcPr>
            <w:tcW w:w="820" w:type="dxa"/>
            <w:vAlign w:val="bottom"/>
            <w:gridSpan w:val="2"/>
          </w:tcPr>
          <w:p>
            <w:pPr>
              <w:jc w:val="right"/>
              <w:ind w:right="68"/>
              <w:spacing w:after="0" w:line="130" w:lineRule="exact"/>
              <w:rPr>
                <w:sz w:val="20"/>
                <w:szCs w:val="20"/>
                <w:color w:val="auto"/>
              </w:rPr>
            </w:pPr>
            <w:r>
              <w:rPr>
                <w:rFonts w:ascii="Arial" w:cs="Arial" w:eastAsia="Arial" w:hAnsi="Arial"/>
                <w:sz w:val="14"/>
                <w:szCs w:val="14"/>
                <w:color w:val="auto"/>
              </w:rPr>
              <w:t>84.7%</w:t>
            </w:r>
          </w:p>
        </w:tc>
        <w:tc>
          <w:tcPr>
            <w:tcW w:w="100" w:type="dxa"/>
            <w:vAlign w:val="bottom"/>
          </w:tcPr>
          <w:p>
            <w:pPr>
              <w:spacing w:after="0"/>
              <w:rPr>
                <w:sz w:val="12"/>
                <w:szCs w:val="12"/>
                <w:color w:val="auto"/>
              </w:rPr>
            </w:pPr>
          </w:p>
        </w:tc>
        <w:tc>
          <w:tcPr>
            <w:tcW w:w="60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15.3%</w:t>
            </w:r>
          </w:p>
        </w:tc>
      </w:tr>
      <w:tr>
        <w:trPr>
          <w:trHeight w:val="149"/>
        </w:trPr>
        <w:tc>
          <w:tcPr>
            <w:tcW w:w="19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Consumer</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6,111</w:t>
            </w:r>
          </w:p>
        </w:tc>
        <w:tc>
          <w:tcPr>
            <w:tcW w:w="9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6,732</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7,057</w:t>
            </w:r>
          </w:p>
        </w:tc>
        <w:tc>
          <w:tcPr>
            <w:tcW w:w="800" w:type="dxa"/>
            <w:vAlign w:val="bottom"/>
            <w:gridSpan w:val="2"/>
            <w:shd w:val="clear" w:color="auto" w:fill="C5D9F1"/>
          </w:tcPr>
          <w:p>
            <w:pPr>
              <w:jc w:val="right"/>
              <w:ind w:right="48"/>
              <w:spacing w:after="0" w:line="149" w:lineRule="exact"/>
              <w:rPr>
                <w:sz w:val="20"/>
                <w:szCs w:val="20"/>
                <w:color w:val="auto"/>
              </w:rPr>
            </w:pPr>
            <w:r>
              <w:rPr>
                <w:rFonts w:ascii="Arial" w:cs="Arial" w:eastAsia="Arial" w:hAnsi="Arial"/>
                <w:sz w:val="14"/>
                <w:szCs w:val="14"/>
                <w:color w:val="auto"/>
              </w:rPr>
              <w:t>4.8%</w:t>
            </w:r>
          </w:p>
        </w:tc>
        <w:tc>
          <w:tcPr>
            <w:tcW w:w="120" w:type="dxa"/>
            <w:vAlign w:val="bottom"/>
            <w:shd w:val="clear" w:color="auto" w:fill="C5D9F1"/>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15.5%</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354</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1.9%</w:t>
            </w:r>
          </w:p>
        </w:tc>
        <w:tc>
          <w:tcPr>
            <w:tcW w:w="8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-0.7%</w:t>
            </w:r>
          </w:p>
        </w:tc>
        <w:tc>
          <w:tcPr>
            <w:tcW w:w="8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85.7%</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14.3%</w:t>
            </w:r>
          </w:p>
        </w:tc>
      </w:tr>
      <w:tr>
        <w:trPr>
          <w:trHeight w:val="149"/>
        </w:trPr>
        <w:tc>
          <w:tcPr>
            <w:tcW w:w="1960" w:type="dxa"/>
            <w:vAlign w:val="bottom"/>
          </w:tcPr>
          <w:p>
            <w:pPr>
              <w:ind w:left="260"/>
              <w:spacing w:after="0" w:line="149" w:lineRule="exact"/>
              <w:rPr>
                <w:sz w:val="20"/>
                <w:szCs w:val="20"/>
                <w:color w:val="auto"/>
              </w:rPr>
            </w:pPr>
            <w:r>
              <w:rPr>
                <w:rFonts w:ascii="Arial" w:cs="Arial" w:eastAsia="Arial" w:hAnsi="Arial"/>
                <w:sz w:val="14"/>
                <w:szCs w:val="14"/>
                <w:color w:val="auto"/>
              </w:rPr>
              <w:t>Credit Card</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3,916</w:t>
            </w:r>
          </w:p>
        </w:tc>
        <w:tc>
          <w:tcPr>
            <w:tcW w:w="9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4,684</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4,742</w:t>
            </w: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1.2%</w:t>
            </w:r>
          </w:p>
        </w:tc>
        <w:tc>
          <w:tcPr>
            <w:tcW w:w="120" w:type="dxa"/>
            <w:vAlign w:val="bottom"/>
            <w:shd w:val="clear" w:color="auto" w:fill="C5D9F1"/>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21.1%</w:t>
            </w:r>
          </w:p>
        </w:tc>
        <w:tc>
          <w:tcPr>
            <w:tcW w:w="120" w:type="dxa"/>
            <w:vAlign w:val="bottom"/>
            <w:shd w:val="clear" w:color="auto" w:fill="C5D9F1"/>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199</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226</w:t>
            </w:r>
          </w:p>
        </w:tc>
        <w:tc>
          <w:tcPr>
            <w:tcW w:w="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237</w:t>
            </w:r>
          </w:p>
        </w:tc>
        <w:tc>
          <w:tcPr>
            <w:tcW w:w="20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4.9%</w:t>
            </w: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19.3%</w:t>
            </w: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85.6%</w:t>
            </w: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14.4%</w:t>
            </w:r>
          </w:p>
        </w:tc>
      </w:tr>
      <w:tr>
        <w:trPr>
          <w:trHeight w:val="149"/>
        </w:trPr>
        <w:tc>
          <w:tcPr>
            <w:tcW w:w="19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Mibanco</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9,048</w:t>
            </w:r>
          </w:p>
        </w:tc>
        <w:tc>
          <w:tcPr>
            <w:tcW w:w="9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9,489</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9,522</w:t>
            </w:r>
          </w:p>
        </w:tc>
        <w:tc>
          <w:tcPr>
            <w:tcW w:w="8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0.4%</w:t>
            </w:r>
          </w:p>
        </w:tc>
        <w:tc>
          <w:tcPr>
            <w:tcW w:w="7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5.2%</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163</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163</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162</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-0.5%</w:t>
            </w:r>
          </w:p>
        </w:tc>
        <w:tc>
          <w:tcPr>
            <w:tcW w:w="8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-0.7%</w:t>
            </w:r>
          </w:p>
        </w:tc>
        <w:tc>
          <w:tcPr>
            <w:tcW w:w="8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94.6%</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5.4%</w:t>
            </w:r>
          </w:p>
        </w:tc>
      </w:tr>
      <w:tr>
        <w:trPr>
          <w:trHeight w:val="149"/>
        </w:trPr>
        <w:tc>
          <w:tcPr>
            <w:tcW w:w="196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Bolivia</w:t>
            </w: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700" w:type="dxa"/>
            <w:vAlign w:val="bottom"/>
            <w:gridSpan w:val="3"/>
          </w:tcPr>
          <w:p>
            <w:pPr>
              <w:jc w:val="right"/>
              <w:ind w:right="68"/>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2,094</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2,181</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2,210</w:t>
            </w:r>
          </w:p>
        </w:tc>
        <w:tc>
          <w:tcPr>
            <w:tcW w:w="820" w:type="dxa"/>
            <w:vAlign w:val="bottom"/>
            <w:gridSpan w:val="2"/>
          </w:tcPr>
          <w:p>
            <w:pPr>
              <w:jc w:val="right"/>
              <w:ind w:right="48"/>
              <w:spacing w:after="0" w:line="149" w:lineRule="exact"/>
              <w:rPr>
                <w:sz w:val="20"/>
                <w:szCs w:val="20"/>
                <w:color w:val="auto"/>
              </w:rPr>
            </w:pPr>
            <w:r>
              <w:rPr>
                <w:rFonts w:ascii="Arial" w:cs="Arial" w:eastAsia="Arial" w:hAnsi="Arial"/>
                <w:sz w:val="14"/>
                <w:szCs w:val="14"/>
                <w:b w:val="1"/>
                <w:bCs w:val="1"/>
                <w:color w:val="auto"/>
              </w:rPr>
              <w:t>1.3%</w:t>
            </w:r>
          </w:p>
        </w:tc>
        <w:tc>
          <w:tcPr>
            <w:tcW w:w="800" w:type="dxa"/>
            <w:vAlign w:val="bottom"/>
            <w:gridSpan w:val="2"/>
            <w:shd w:val="clear" w:color="auto" w:fill="C5D9F1"/>
          </w:tcPr>
          <w:p>
            <w:pPr>
              <w:jc w:val="right"/>
              <w:ind w:right="28"/>
              <w:spacing w:after="0" w:line="149" w:lineRule="exact"/>
              <w:rPr>
                <w:sz w:val="20"/>
                <w:szCs w:val="20"/>
                <w:color w:val="auto"/>
              </w:rPr>
            </w:pPr>
            <w:r>
              <w:rPr>
                <w:rFonts w:ascii="Arial" w:cs="Arial" w:eastAsia="Arial" w:hAnsi="Arial"/>
                <w:sz w:val="14"/>
                <w:szCs w:val="14"/>
                <w:b w:val="1"/>
                <w:bCs w:val="1"/>
                <w:color w:val="auto"/>
              </w:rPr>
              <w:t>5.5%</w:t>
            </w:r>
          </w:p>
        </w:tc>
        <w:tc>
          <w:tcPr>
            <w:tcW w:w="820" w:type="dxa"/>
            <w:vAlign w:val="bottom"/>
            <w:gridSpan w:val="2"/>
          </w:tcPr>
          <w:p>
            <w:pPr>
              <w:jc w:val="right"/>
              <w:ind w:right="188"/>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100.0%</w:t>
            </w:r>
          </w:p>
        </w:tc>
      </w:tr>
      <w:tr>
        <w:trPr>
          <w:trHeight w:val="162"/>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ASB</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775</w:t>
            </w: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762</w:t>
            </w: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734</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FDE9D9"/>
          </w:tcPr>
          <w:p>
            <w:pPr>
              <w:jc w:val="right"/>
              <w:ind w:right="48"/>
              <w:spacing w:after="0"/>
              <w:rPr>
                <w:sz w:val="20"/>
                <w:szCs w:val="20"/>
                <w:color w:val="auto"/>
              </w:rPr>
            </w:pPr>
            <w:r>
              <w:rPr>
                <w:rFonts w:ascii="Arial" w:cs="Arial" w:eastAsia="Arial" w:hAnsi="Arial"/>
                <w:sz w:val="14"/>
                <w:szCs w:val="14"/>
                <w:b w:val="1"/>
                <w:bCs w:val="1"/>
                <w:color w:val="auto"/>
              </w:rPr>
              <w:t>-3.7%</w:t>
            </w:r>
          </w:p>
        </w:tc>
        <w:tc>
          <w:tcPr>
            <w:tcW w:w="800" w:type="dxa"/>
            <w:vAlign w:val="bottom"/>
            <w:gridSpan w:val="2"/>
            <w:shd w:val="clear" w:color="auto" w:fill="FDE9D9"/>
          </w:tcPr>
          <w:p>
            <w:pPr>
              <w:jc w:val="right"/>
              <w:ind w:right="28"/>
              <w:spacing w:after="0"/>
              <w:rPr>
                <w:sz w:val="20"/>
                <w:szCs w:val="20"/>
                <w:color w:val="auto"/>
              </w:rPr>
            </w:pPr>
            <w:r>
              <w:rPr>
                <w:rFonts w:ascii="Arial" w:cs="Arial" w:eastAsia="Arial" w:hAnsi="Arial"/>
                <w:sz w:val="14"/>
                <w:szCs w:val="14"/>
                <w:b w:val="1"/>
                <w:bCs w:val="1"/>
                <w:color w:val="auto"/>
              </w:rPr>
              <w:t>-5.4%</w:t>
            </w:r>
          </w:p>
        </w:tc>
        <w:tc>
          <w:tcPr>
            <w:tcW w:w="82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100.0%</w:t>
            </w:r>
          </w:p>
        </w:tc>
      </w:tr>
      <w:tr>
        <w:trPr>
          <w:trHeight w:val="156"/>
        </w:trPr>
        <w:tc>
          <w:tcPr>
            <w:tcW w:w="1960" w:type="dxa"/>
            <w:vAlign w:val="bottom"/>
          </w:tcPr>
          <w:p>
            <w:pPr>
              <w:ind w:left="40"/>
              <w:spacing w:after="0" w:line="155" w:lineRule="exact"/>
              <w:rPr>
                <w:sz w:val="20"/>
                <w:szCs w:val="20"/>
                <w:color w:val="auto"/>
              </w:rPr>
            </w:pPr>
            <w:r>
              <w:rPr>
                <w:rFonts w:ascii="Arial" w:cs="Arial" w:eastAsia="Arial" w:hAnsi="Arial"/>
                <w:sz w:val="14"/>
                <w:szCs w:val="14"/>
                <w:b w:val="1"/>
                <w:bCs w:val="1"/>
                <w:color w:val="auto"/>
              </w:rPr>
              <w:t>Total loans</w:t>
            </w: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61,707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65,654</w:t>
            </w:r>
          </w:p>
        </w:tc>
        <w:tc>
          <w:tcPr>
            <w:tcW w:w="200" w:type="dxa"/>
            <w:vAlign w:val="bottom"/>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67,158</w:t>
            </w:r>
          </w:p>
        </w:tc>
        <w:tc>
          <w:tcPr>
            <w:tcW w:w="220" w:type="dxa"/>
            <w:vAlign w:val="bottom"/>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2.3</w:t>
            </w:r>
          </w:p>
        </w:tc>
        <w:tc>
          <w:tcPr>
            <w:tcW w:w="240" w:type="dxa"/>
            <w:vAlign w:val="bottom"/>
          </w:tcPr>
          <w:p>
            <w:pPr>
              <w:jc w:val="right"/>
              <w:ind w:right="28"/>
              <w:spacing w:after="0" w:line="155" w:lineRule="exact"/>
              <w:rPr>
                <w:sz w:val="20"/>
                <w:szCs w:val="20"/>
                <w:color w:val="auto"/>
              </w:rPr>
            </w:pPr>
            <w:r>
              <w:rPr>
                <w:rFonts w:ascii="Arial" w:cs="Arial" w:eastAsia="Arial" w:hAnsi="Arial"/>
                <w:sz w:val="14"/>
                <w:szCs w:val="14"/>
                <w:b w:val="1"/>
                <w:bCs w:val="1"/>
                <w:color w:val="auto"/>
                <w:w w:val="96"/>
              </w:rPr>
              <w:t>%</w:t>
            </w:r>
          </w:p>
        </w:tc>
        <w:tc>
          <w:tcPr>
            <w:tcW w:w="56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8.8</w:t>
            </w:r>
          </w:p>
        </w:tc>
        <w:tc>
          <w:tcPr>
            <w:tcW w:w="1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6"/>
              </w:rPr>
              <w:t>%</w:t>
            </w:r>
          </w:p>
        </w:tc>
        <w:tc>
          <w:tcPr>
            <w:tcW w:w="120" w:type="dxa"/>
            <w:vAlign w:val="bottom"/>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12,952</w:t>
            </w:r>
          </w:p>
        </w:tc>
        <w:tc>
          <w:tcPr>
            <w:tcW w:w="200" w:type="dxa"/>
            <w:vAlign w:val="bottom"/>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13,181</w:t>
            </w:r>
          </w:p>
        </w:tc>
        <w:tc>
          <w:tcPr>
            <w:tcW w:w="220" w:type="dxa"/>
            <w:vAlign w:val="bottom"/>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13,238</w:t>
            </w:r>
          </w:p>
        </w:tc>
        <w:tc>
          <w:tcPr>
            <w:tcW w:w="200" w:type="dxa"/>
            <w:vAlign w:val="bottom"/>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0.4</w:t>
            </w:r>
          </w:p>
        </w:tc>
        <w:tc>
          <w:tcPr>
            <w:tcW w:w="260" w:type="dxa"/>
            <w:vAlign w:val="bottom"/>
          </w:tcPr>
          <w:p>
            <w:pPr>
              <w:jc w:val="right"/>
              <w:ind w:right="48"/>
              <w:spacing w:after="0" w:line="155" w:lineRule="exact"/>
              <w:rPr>
                <w:sz w:val="20"/>
                <w:szCs w:val="20"/>
                <w:color w:val="auto"/>
              </w:rPr>
            </w:pPr>
            <w:r>
              <w:rPr>
                <w:rFonts w:ascii="Arial" w:cs="Arial" w:eastAsia="Arial" w:hAnsi="Arial"/>
                <w:sz w:val="14"/>
                <w:szCs w:val="14"/>
                <w:b w:val="1"/>
                <w:bCs w:val="1"/>
                <w:color w:val="auto"/>
                <w:w w:val="96"/>
              </w:rPr>
              <w:t>%</w:t>
            </w: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2.2</w:t>
            </w:r>
          </w:p>
        </w:tc>
        <w:tc>
          <w:tcPr>
            <w:tcW w:w="240" w:type="dxa"/>
            <w:vAlign w:val="bottom"/>
          </w:tcPr>
          <w:p>
            <w:pPr>
              <w:jc w:val="right"/>
              <w:ind w:right="28"/>
              <w:spacing w:after="0" w:line="155" w:lineRule="exact"/>
              <w:rPr>
                <w:sz w:val="20"/>
                <w:szCs w:val="20"/>
                <w:color w:val="auto"/>
              </w:rPr>
            </w:pPr>
            <w:r>
              <w:rPr>
                <w:rFonts w:ascii="Arial" w:cs="Arial" w:eastAsia="Arial" w:hAnsi="Arial"/>
                <w:sz w:val="14"/>
                <w:szCs w:val="14"/>
                <w:b w:val="1"/>
                <w:bCs w:val="1"/>
                <w:color w:val="auto"/>
                <w:w w:val="96"/>
              </w:rPr>
              <w:t>%</w:t>
            </w: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60.1</w:t>
            </w:r>
          </w:p>
        </w:tc>
        <w:tc>
          <w:tcPr>
            <w:tcW w:w="260" w:type="dxa"/>
            <w:vAlign w:val="bottom"/>
          </w:tcPr>
          <w:p>
            <w:pPr>
              <w:jc w:val="right"/>
              <w:ind w:right="48"/>
              <w:spacing w:after="0" w:line="155" w:lineRule="exact"/>
              <w:rPr>
                <w:sz w:val="20"/>
                <w:szCs w:val="20"/>
                <w:color w:val="auto"/>
              </w:rPr>
            </w:pPr>
            <w:r>
              <w:rPr>
                <w:rFonts w:ascii="Arial" w:cs="Arial" w:eastAsia="Arial" w:hAnsi="Arial"/>
                <w:sz w:val="14"/>
                <w:szCs w:val="14"/>
                <w:b w:val="1"/>
                <w:bCs w:val="1"/>
                <w:color w:val="auto"/>
                <w:w w:val="96"/>
              </w:rPr>
              <w:t>%</w:t>
            </w: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39.9</w:t>
            </w:r>
          </w:p>
        </w:tc>
        <w:tc>
          <w:tcPr>
            <w:tcW w:w="1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9"/>
              </w:rPr>
              <w:t>%</w:t>
            </w:r>
          </w:p>
        </w:tc>
      </w:tr>
      <w:tr>
        <w:trPr>
          <w:trHeight w:val="20"/>
        </w:trPr>
        <w:tc>
          <w:tcPr>
            <w:tcW w:w="19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-694055</wp:posOffset>
            </wp:positionV>
            <wp:extent cx="445770" cy="2832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45770" cy="283210"/>
                    </a:xfrm>
                    <a:prstGeom prst="rect">
                      <a:avLst/>
                    </a:prstGeom>
                    <a:noFill/>
                  </pic:spPr>
                </pic:pic>
              </a:graphicData>
            </a:graphic>
          </wp:anchor>
        </w:drawing>
      </w:r>
    </w:p>
    <w:p>
      <w:pPr>
        <w:spacing w:after="0" w:line="20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Highest growth in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41148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11480" cy="137160"/>
                    </a:xfrm>
                    <a:prstGeom prst="rect">
                      <a:avLst/>
                    </a:prstGeom>
                    <a:noFill/>
                  </pic:spPr>
                </pic:pic>
              </a:graphicData>
            </a:graphic>
          </wp:anchor>
        </w:drawing>
      </w:r>
    </w:p>
    <w:p>
      <w:pPr>
        <w:spacing w:after="0" w:line="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Largest contraction in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41148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11480" cy="13716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(1) Includes Work out unit, and other banking.</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analysis of loan expansion by currency shows that QoQ and YoY growth in the Retail segment and at the Mibanco subsidiary were attributable to the LC portfolio. In contrast, growth in Wholesale Banking and at other subsidiaries was mainly associated with the FC portfolio.</w:t>
      </w:r>
    </w:p>
    <w:p>
      <w:pPr>
        <w:spacing w:after="0" w:line="387"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 xml:space="preserve">YoY evolution of the level of dollarization by segment </w:t>
      </w:r>
      <w:r>
        <w:rPr>
          <w:rFonts w:ascii="Arial" w:cs="Arial" w:eastAsia="Arial" w:hAnsi="Arial"/>
          <w:sz w:val="30"/>
          <w:szCs w:val="30"/>
          <w:b w:val="1"/>
          <w:bCs w:val="1"/>
          <w:color w:val="auto"/>
          <w:vertAlign w:val="superscript"/>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90170</wp:posOffset>
            </wp:positionV>
            <wp:extent cx="6715125" cy="2306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15125" cy="230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Average daily balances.</w:t>
      </w:r>
    </w:p>
    <w:p>
      <w:pPr>
        <w:spacing w:after="0" w:line="23" w:lineRule="exact"/>
        <w:rPr>
          <w:rFonts w:ascii="Arial" w:cs="Arial" w:eastAsia="Arial" w:hAnsi="Arial"/>
          <w:sz w:val="18"/>
          <w:szCs w:val="18"/>
          <w:color w:val="auto"/>
        </w:rPr>
      </w:pPr>
    </w:p>
    <w:p>
      <w:pPr>
        <w:ind w:right="20" w:firstLine="8"/>
        <w:spacing w:after="0" w:line="250" w:lineRule="auto"/>
        <w:tabs>
          <w:tab w:leader="none" w:pos="26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FC share of Credicorp’s loan portfolio is calculated including BCP Bolivia and ASB, however the chart shows only the loan books of BCP Stand-alone and Mibanco.</w:t>
      </w:r>
    </w:p>
    <w:p>
      <w:pPr>
        <w:ind w:left="260" w:hanging="252"/>
        <w:spacing w:after="0"/>
        <w:tabs>
          <w:tab w:leader="none" w:pos="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year with the historic maximum level of dollarization for Wholesale Banking was 2012, for Mibanco was 2016 and for the rest of segments was 2009.</w:t>
      </w:r>
    </w:p>
    <w:p>
      <w:pPr>
        <w:spacing w:after="0" w:line="2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BCP Stand-alone, the loan dollarization level fell to 37%. As expected, the Mortgage segment continues to post a downward trend in the dollarization level of its portfolio, which fell from 20% in September 2018 to 15% in September 2019. The aforementioned was attributable to the fact that a large proportion of total loan disbursements was in LC.</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important to note that, as is evident in the following figure, the percentage of the loan portfolio that is highly exposed to FX risk on credit risk remains very low.</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FX risk on credit risk – BCP Stand-alone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1866265</wp:posOffset>
            </wp:positionH>
            <wp:positionV relativeFrom="paragraph">
              <wp:posOffset>154940</wp:posOffset>
            </wp:positionV>
            <wp:extent cx="3498850" cy="18008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98850" cy="1800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1.2.3. BCRP de-dollarization plan at BCP Stand-alone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end of 2014, BCRP set up a Program to reduce the dollarization level of the loan book in the Peruvian Banking System. As part of this Program, BCRP set some targets to reduce the loan balances in US Dollars progressively at the end of June 2015, December 2015, December 2016, December 2017, December 2018 and December 2019. The balances that are subject to reduction targets are the total FC portfolio, with some exceptions, and the balance of the joint mortgage and car loan portfolio. The balance required at the end of December 2019 is as follows:</w:t>
      </w:r>
    </w:p>
    <w:p>
      <w:pPr>
        <w:spacing w:after="0" w:line="187" w:lineRule="exact"/>
        <w:rPr>
          <w:sz w:val="20"/>
          <w:szCs w:val="20"/>
          <w:color w:val="auto"/>
        </w:rPr>
      </w:pPr>
    </w:p>
    <w:p>
      <w:pPr>
        <w:ind w:left="880" w:hanging="494"/>
        <w:spacing w:after="0" w:line="342" w:lineRule="auto"/>
        <w:tabs>
          <w:tab w:leader="none" w:pos="8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For the total portfolio in FC, the goal set for 2018 will continue to apply. In this context, the balance at the end of December 2018 must represent no more than 80% of the total loan balance in FC reported at the end of September 2013 (excluding loans that meet certain requirements.)</w:t>
      </w:r>
    </w:p>
    <w:p>
      <w:pPr>
        <w:spacing w:after="0" w:line="123"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6"/>
          <w:szCs w:val="16"/>
          <w:color w:val="auto"/>
        </w:rPr>
        <w:t>At the end of September 2019, BCP Stand-alone reported a compliance level of 106% with regard to the goal set by BCRP for December 2019.</w:t>
      </w:r>
    </w:p>
    <w:p>
      <w:pPr>
        <w:spacing w:after="0" w:line="200" w:lineRule="exact"/>
        <w:rPr>
          <w:sz w:val="20"/>
          <w:szCs w:val="20"/>
          <w:color w:val="auto"/>
        </w:rPr>
      </w:pPr>
    </w:p>
    <w:p>
      <w:pPr>
        <w:spacing w:after="0" w:line="264"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jc w:val="both"/>
        <w:ind w:left="880" w:hanging="494"/>
        <w:spacing w:after="0" w:line="264"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the combined FC Mortgage and Car portfolio, the target was adjusted in December 2018 to stipulate that the balance at the end of December of 2019 must represent no more than 40% of the balance of the combined Mortgage and Car portfolio reported at the end of February 2013. Every year, the target will be adjusted by 10% to reach a minimum of 5% of Net Equity.</w:t>
      </w:r>
    </w:p>
    <w:p>
      <w:pPr>
        <w:spacing w:after="0" w:line="181" w:lineRule="exact"/>
        <w:rPr>
          <w:sz w:val="20"/>
          <w:szCs w:val="20"/>
          <w:color w:val="auto"/>
        </w:rPr>
      </w:pPr>
    </w:p>
    <w:p>
      <w:pPr>
        <w:ind w:left="900"/>
        <w:spacing w:after="0" w:line="277" w:lineRule="auto"/>
        <w:rPr>
          <w:sz w:val="20"/>
          <w:szCs w:val="20"/>
          <w:color w:val="auto"/>
        </w:rPr>
      </w:pPr>
      <w:r>
        <w:rPr>
          <w:rFonts w:ascii="Arial" w:cs="Arial" w:eastAsia="Arial" w:hAnsi="Arial"/>
          <w:sz w:val="18"/>
          <w:szCs w:val="18"/>
          <w:color w:val="auto"/>
        </w:rPr>
        <w:t>At the end of September 2019, BCP Stand-alone reported a compliance level of 87% with regard to the dedollarization goal set by BCRP indicated above.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1.2.4. Market share in loans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share in Peru</w:t>
      </w:r>
      <w:r>
        <w:rPr>
          <w:rFonts w:ascii="Arial" w:cs="Arial" w:eastAsia="Arial" w:hAnsi="Arial"/>
          <w:sz w:val="30"/>
          <w:szCs w:val="30"/>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90170</wp:posOffset>
            </wp:positionV>
            <wp:extent cx="5951855" cy="15951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51855" cy="1595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(1) Market shares are different that previously reported because now includes non-performing loans in the sample.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Peruvian Financial System</w:t>
      </w:r>
    </w:p>
    <w:p>
      <w:pPr>
        <w:spacing w:after="0" w:line="22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 xml:space="preserve">At the end of August 2019, </w:t>
      </w:r>
      <w:r>
        <w:rPr>
          <w:rFonts w:ascii="Arial" w:cs="Arial" w:eastAsia="Arial" w:hAnsi="Arial"/>
          <w:sz w:val="17"/>
          <w:szCs w:val="17"/>
          <w:b w:val="1"/>
          <w:bCs w:val="1"/>
          <w:color w:val="auto"/>
        </w:rPr>
        <w:t>BCP Stand-alone</w:t>
      </w:r>
      <w:r>
        <w:rPr>
          <w:rFonts w:ascii="Arial" w:cs="Arial" w:eastAsia="Arial" w:hAnsi="Arial"/>
          <w:sz w:val="17"/>
          <w:szCs w:val="17"/>
          <w:color w:val="auto"/>
        </w:rPr>
        <w:t xml:space="preserve"> continued to lead the Peruvian financial market</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with a market share (MS) of 28.7%, which outpaced the 17.7% share posted by our closest competitor. This level was higher to that obtained in 2Q19 (+20 bps) but fell below that posted in 3Q18 (-30bps). Mibanco registered a market share of total loans in the Financial System of 3.2%, similar to the levels seen in 2Q19 and 3Q18.</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Within Wholesale Banking, the Corporate Banking segment registered an improvement of +110 bps in its MS with regard to 2Q19’s result, which contrasts with the evolution of Middle Market Banking’s result, which fell -20 bps during the same period. In the YoY evolution, Corporate Banking reported an increase of +50 bps in MS while Middle Market Banking maintained the same level posted in 3Q18. It is important to note that both of these BCP segments continue to lead their respective markets.</w:t>
      </w:r>
    </w:p>
    <w:p>
      <w:pPr>
        <w:spacing w:after="0" w:line="187"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Within Retail Banking, BCP continued to lead the Mortgage loan market, posting growth of +20 bps QoQ and +110 bps YoY due to a large increase in loan balances in this segment. The SME-Business segment at BCP, which tied for first place in MS in 2Q19 with a share of 31.3%</w:t>
      </w:r>
      <w:r>
        <w:rPr>
          <w:rFonts w:ascii="Arial" w:cs="Arial" w:eastAsia="Arial" w:hAnsi="Arial"/>
          <w:sz w:val="26"/>
          <w:szCs w:val="26"/>
          <w:color w:val="auto"/>
          <w:vertAlign w:val="superscript"/>
        </w:rPr>
        <w:t>(</w:t>
      </w:r>
      <w:r>
        <w:rPr>
          <w:rFonts w:ascii="Arial" w:cs="Arial" w:eastAsia="Arial" w:hAnsi="Arial"/>
          <w:sz w:val="31"/>
          <w:szCs w:val="31"/>
          <w:color w:val="auto"/>
          <w:vertAlign w:val="superscript"/>
        </w:rPr>
        <w:t>2</w:t>
      </w:r>
      <w:r>
        <w:rPr>
          <w:rFonts w:ascii="Arial" w:cs="Arial" w:eastAsia="Arial" w:hAnsi="Arial"/>
          <w:sz w:val="26"/>
          <w:szCs w:val="26"/>
          <w:color w:val="auto"/>
          <w:vertAlign w:val="superscript"/>
        </w:rPr>
        <w:t>)</w:t>
      </w:r>
      <w:r>
        <w:rPr>
          <w:rFonts w:ascii="Arial" w:cs="Arial" w:eastAsia="Arial" w:hAnsi="Arial"/>
          <w:sz w:val="16"/>
          <w:szCs w:val="16"/>
          <w:color w:val="auto"/>
        </w:rPr>
        <w:t>, pulled ahead of its closest competitor this quarter with an MS of 32.4% versus 31.7% for the runner-up. In the Consumer and Credit Card segments, BCP ranks second in the market.</w:t>
      </w:r>
    </w:p>
    <w:p>
      <w:pPr>
        <w:spacing w:after="0" w:line="19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In the SME-Pyme segment, </w:t>
      </w:r>
      <w:r>
        <w:rPr>
          <w:rFonts w:ascii="Arial" w:cs="Arial" w:eastAsia="Arial" w:hAnsi="Arial"/>
          <w:sz w:val="18"/>
          <w:szCs w:val="18"/>
          <w:b w:val="1"/>
          <w:bCs w:val="1"/>
          <w:color w:val="auto"/>
        </w:rPr>
        <w:t>Mibanco</w:t>
      </w:r>
      <w:r>
        <w:rPr>
          <w:rFonts w:ascii="Arial" w:cs="Arial" w:eastAsia="Arial" w:hAnsi="Arial"/>
          <w:sz w:val="18"/>
          <w:szCs w:val="18"/>
          <w:color w:val="auto"/>
        </w:rPr>
        <w:t xml:space="preserve"> continues to lead with an MS of 21.9%, which falls below the MS reported in 2Q19 and 3Q18 of 22.2%. BCP is second in the segment with an MS of 11.4%.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Bolivian Financial System</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Finally, the MS reported by </w:t>
      </w:r>
      <w:r>
        <w:rPr>
          <w:rFonts w:ascii="Arial" w:cs="Arial" w:eastAsia="Arial" w:hAnsi="Arial"/>
          <w:sz w:val="18"/>
          <w:szCs w:val="18"/>
          <w:b w:val="1"/>
          <w:bCs w:val="1"/>
          <w:color w:val="auto"/>
        </w:rPr>
        <w:t>BCP Bolivia</w:t>
      </w:r>
      <w:r>
        <w:rPr>
          <w:rFonts w:ascii="Arial" w:cs="Arial" w:eastAsia="Arial" w:hAnsi="Arial"/>
          <w:sz w:val="18"/>
          <w:szCs w:val="18"/>
          <w:color w:val="auto"/>
        </w:rPr>
        <w:t xml:space="preserve"> fell YoY and QoQ; nevertheless, the subsidiary continues to rank fifth in the Bolivian financial system with a 9.3% share of the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8097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53" w:lineRule="exact"/>
        <w:rPr>
          <w:sz w:val="20"/>
          <w:szCs w:val="20"/>
          <w:color w:val="auto"/>
        </w:rPr>
      </w:pPr>
    </w:p>
    <w:p>
      <w:pPr>
        <w:ind w:left="220" w:hanging="212"/>
        <w:spacing w:after="0"/>
        <w:tabs>
          <w:tab w:leader="none" w:pos="220" w:val="left"/>
        </w:tabs>
        <w:numPr>
          <w:ilvl w:val="0"/>
          <w:numId w:val="14"/>
        </w:numPr>
        <w:rPr>
          <w:rFonts w:ascii="Arial" w:cs="Arial" w:eastAsia="Arial" w:hAnsi="Arial"/>
          <w:sz w:val="26"/>
          <w:szCs w:val="26"/>
          <w:color w:val="auto"/>
          <w:vertAlign w:val="superscript"/>
        </w:rPr>
      </w:pPr>
      <w:r>
        <w:rPr>
          <w:rFonts w:ascii="Arial" w:cs="Arial" w:eastAsia="Arial" w:hAnsi="Arial"/>
          <w:sz w:val="16"/>
          <w:szCs w:val="16"/>
          <w:color w:val="auto"/>
        </w:rPr>
        <w:t>Includes Multipurpose Banks, Finance Companies, Municipal and Rural Banks, EDPYMEs and Leasing and Mortgages Companies.</w:t>
      </w:r>
    </w:p>
    <w:p>
      <w:pPr>
        <w:spacing w:after="0" w:line="82" w:lineRule="exact"/>
        <w:rPr>
          <w:rFonts w:ascii="Arial" w:cs="Arial" w:eastAsia="Arial" w:hAnsi="Arial"/>
          <w:sz w:val="26"/>
          <w:szCs w:val="26"/>
          <w:color w:val="auto"/>
          <w:vertAlign w:val="superscript"/>
        </w:rPr>
      </w:pPr>
    </w:p>
    <w:p>
      <w:pPr>
        <w:ind w:left="260" w:hanging="252"/>
        <w:spacing w:after="0" w:line="186" w:lineRule="auto"/>
        <w:tabs>
          <w:tab w:leader="none" w:pos="260" w:val="left"/>
        </w:tabs>
        <w:numPr>
          <w:ilvl w:val="0"/>
          <w:numId w:val="14"/>
        </w:numPr>
        <w:rPr>
          <w:rFonts w:ascii="Arial" w:cs="Arial" w:eastAsia="Arial" w:hAnsi="Arial"/>
          <w:sz w:val="24"/>
          <w:szCs w:val="24"/>
          <w:color w:val="auto"/>
          <w:vertAlign w:val="superscript"/>
        </w:rPr>
      </w:pPr>
      <w:r>
        <w:rPr>
          <w:rFonts w:ascii="Arial" w:cs="Arial" w:eastAsia="Arial" w:hAnsi="Arial"/>
          <w:sz w:val="14"/>
          <w:szCs w:val="14"/>
          <w:color w:val="auto"/>
        </w:rPr>
        <w:t>Market share as of May 2019, showed in our previous 2Q19 Earnings Release.</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2. Funding Sources</w:t>
      </w:r>
    </w:p>
    <w:p>
      <w:pPr>
        <w:spacing w:after="0" w:line="229"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i w:val="1"/>
          <w:iCs w:val="1"/>
          <w:color w:val="auto"/>
        </w:rPr>
        <w:t>At the end of 3Q19, total funding increased QoQ and YoY. The funding structure at Credicorp registered an expansion in deposits and obligations, the group’s main source of funding, posting an increase in their share of total funding. The increase in the funding volume was also attributable to a variation in the liability management of corporate bonds at BCP Stand-alone in LC and FC with extended maturity horizons and reduced rates. All of the aforementioned offset the drop in BCRP instruments and Repurchase agreements. In this context, Credicorp’s funding cost remained relatively stable.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Funding</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ind w:left="360"/>
              <w:spacing w:after="0"/>
              <w:rPr>
                <w:sz w:val="20"/>
                <w:szCs w:val="20"/>
                <w:color w:val="auto"/>
              </w:rPr>
            </w:pPr>
            <w:r>
              <w:rPr>
                <w:rFonts w:ascii="Arial" w:cs="Arial" w:eastAsia="Arial" w:hAnsi="Arial"/>
                <w:sz w:val="18"/>
                <w:szCs w:val="18"/>
                <w:b w:val="1"/>
                <w:bCs w:val="1"/>
                <w:color w:val="auto"/>
              </w:rPr>
              <w:t>As of</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gridSpan w:val="3"/>
          </w:tcPr>
          <w:p>
            <w:pPr>
              <w:ind w:left="140"/>
              <w:spacing w:after="0"/>
              <w:rPr>
                <w:sz w:val="20"/>
                <w:szCs w:val="20"/>
                <w:color w:val="auto"/>
              </w:rPr>
            </w:pPr>
            <w:r>
              <w:rPr>
                <w:rFonts w:ascii="Arial" w:cs="Arial" w:eastAsia="Arial" w:hAnsi="Arial"/>
                <w:sz w:val="18"/>
                <w:szCs w:val="18"/>
                <w:b w:val="1"/>
                <w:bCs w:val="1"/>
                <w:color w:val="auto"/>
                <w:w w:val="97"/>
              </w:rPr>
              <w:t>% change</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4"/>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Sep 18</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Jun 19</w:t>
            </w:r>
          </w:p>
        </w:tc>
        <w:tc>
          <w:tcPr>
            <w:tcW w:w="1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Sep 19</w:t>
            </w:r>
          </w:p>
        </w:tc>
        <w:tc>
          <w:tcPr>
            <w:tcW w:w="2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w w:val="87"/>
              </w:rPr>
              <w:t>QoQ</w:t>
            </w:r>
          </w:p>
        </w:tc>
        <w:tc>
          <w:tcPr>
            <w:tcW w:w="38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EEFF"/>
            </w:tcBorders>
          </w:tcPr>
          <w:p>
            <w:pPr>
              <w:spacing w:after="0"/>
              <w:rPr>
                <w:sz w:val="20"/>
                <w:szCs w:val="20"/>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Demand deposits</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29,312,361</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29,863,335</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32,626,001</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Saving deposits</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30,396,175</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32,604,309</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33,681,765</w:t>
            </w:r>
          </w:p>
        </w:tc>
        <w:tc>
          <w:tcPr>
            <w:tcW w:w="740" w:type="dxa"/>
            <w:vAlign w:val="bottom"/>
          </w:tcPr>
          <w:p>
            <w:pPr>
              <w:spacing w:after="0"/>
              <w:rPr>
                <w:sz w:val="18"/>
                <w:szCs w:val="18"/>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Time deposits</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30,186,076</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32,472,216</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33,194,331</w:t>
            </w:r>
          </w:p>
        </w:tc>
        <w:tc>
          <w:tcPr>
            <w:tcW w:w="7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Severance indemnity deposits</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6,923,829</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7,609,448</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7,205,449</w:t>
            </w:r>
          </w:p>
        </w:tc>
        <w:tc>
          <w:tcPr>
            <w:tcW w:w="740" w:type="dxa"/>
            <w:vAlign w:val="bottom"/>
          </w:tcPr>
          <w:p>
            <w:pPr>
              <w:spacing w:after="0"/>
              <w:rPr>
                <w:sz w:val="18"/>
                <w:szCs w:val="18"/>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rPr>
              <w:t>-5.3%</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556,970</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607,736</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684,174</w:t>
            </w:r>
          </w:p>
        </w:tc>
        <w:tc>
          <w:tcPr>
            <w:tcW w:w="7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7"/>
              </w:rPr>
              <w:t>12.6%</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23"/>
        </w:trPr>
        <w:tc>
          <w:tcPr>
            <w:tcW w:w="3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Deposits and obligations</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97,375,411</w:t>
            </w:r>
          </w:p>
        </w:tc>
        <w:tc>
          <w:tcPr>
            <w:tcW w:w="20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103,157,044</w:t>
            </w:r>
          </w:p>
        </w:tc>
        <w:tc>
          <w:tcPr>
            <w:tcW w:w="18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107,391,720</w:t>
            </w:r>
          </w:p>
        </w:tc>
        <w:tc>
          <w:tcPr>
            <w:tcW w:w="200" w:type="dxa"/>
            <w:vAlign w:val="bottom"/>
            <w:tcBorders>
              <w:bottom w:val="single" w:sz="8" w:color="CCEEFF"/>
            </w:tcBorders>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w:t>
            </w:r>
          </w:p>
        </w:tc>
        <w:tc>
          <w:tcPr>
            <w:tcW w:w="2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10"/>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to banks and correspondents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7,509,183</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9,222,278</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8,624,286</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BCRP instruments</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4,851,806</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6,304,186</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4,144,908</w:t>
            </w:r>
          </w:p>
        </w:tc>
        <w:tc>
          <w:tcPr>
            <w:tcW w:w="740" w:type="dxa"/>
            <w:vAlign w:val="bottom"/>
          </w:tcPr>
          <w:p>
            <w:pPr>
              <w:spacing w:after="0"/>
              <w:rPr>
                <w:sz w:val="18"/>
                <w:szCs w:val="18"/>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w w:val="87"/>
              </w:rPr>
              <w:t>-34.3%</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-14.6%</w:t>
            </w: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Repurchase agreements</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2,739,630</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2,455,665</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2,031,025</w:t>
            </w:r>
          </w:p>
        </w:tc>
        <w:tc>
          <w:tcPr>
            <w:tcW w:w="7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87"/>
              </w:rPr>
              <w:t>-17.3%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Bonds and notes issued</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15,194,775</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15,058,760</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17,160,564</w:t>
            </w:r>
          </w:p>
        </w:tc>
        <w:tc>
          <w:tcPr>
            <w:tcW w:w="740" w:type="dxa"/>
            <w:vAlign w:val="bottom"/>
          </w:tcPr>
          <w:p>
            <w:pPr>
              <w:spacing w:after="0"/>
              <w:rPr>
                <w:sz w:val="19"/>
                <w:szCs w:val="19"/>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w w:val="97"/>
              </w:rPr>
              <w:t>14.0%</w:t>
            </w:r>
          </w:p>
        </w:tc>
        <w:tc>
          <w:tcPr>
            <w:tcW w:w="3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12.9%</w:t>
            </w:r>
          </w:p>
        </w:tc>
      </w:tr>
      <w:tr>
        <w:trPr>
          <w:trHeight w:val="223"/>
        </w:trPr>
        <w:tc>
          <w:tcPr>
            <w:tcW w:w="3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funding</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127,670,805</w:t>
            </w:r>
          </w:p>
        </w:tc>
        <w:tc>
          <w:tcPr>
            <w:tcW w:w="2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136,197,933</w:t>
            </w:r>
          </w:p>
        </w:tc>
        <w:tc>
          <w:tcPr>
            <w:tcW w:w="1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139,352,503</w:t>
            </w:r>
          </w:p>
        </w:tc>
        <w:tc>
          <w:tcPr>
            <w:tcW w:w="2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Funding Structure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Evolution of the funding structure and cost – BAP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142875</wp:posOffset>
            </wp:positionV>
            <wp:extent cx="5685790" cy="24872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85790" cy="248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The graph depicting the evolution of Credicorp’s funding structure is calculated with quarter-end balances. The funding structure reflects:</w:t>
      </w:r>
    </w:p>
    <w:p>
      <w:pPr>
        <w:spacing w:after="0" w:line="225" w:lineRule="exact"/>
        <w:rPr>
          <w:sz w:val="20"/>
          <w:szCs w:val="20"/>
          <w:color w:val="auto"/>
        </w:rPr>
      </w:pPr>
    </w:p>
    <w:p>
      <w:pPr>
        <w:jc w:val="both"/>
        <w:ind w:left="980" w:hanging="648"/>
        <w:spacing w:after="0" w:line="286"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on-going importance of deposits as the main source of funding, which imply lower costs than other alternatives in the mix, posted a significant increase in their share of total funding both QoQ (+140 bps) and YoY (+80bps) to situate at a level of 77.1% (vs. 75.7% in Jun 19 and 76.3% in Sep 18). Growth in deposits was due primarily to an increase in the volume of demand deposits and savings deposits.</w:t>
      </w:r>
    </w:p>
    <w:p>
      <w:pPr>
        <w:spacing w:after="0" w:line="165" w:lineRule="exact"/>
        <w:rPr>
          <w:rFonts w:ascii="Arial" w:cs="Arial" w:eastAsia="Arial" w:hAnsi="Arial"/>
          <w:sz w:val="17"/>
          <w:szCs w:val="17"/>
          <w:color w:val="auto"/>
        </w:rPr>
      </w:pPr>
    </w:p>
    <w:p>
      <w:pPr>
        <w:jc w:val="both"/>
        <w:ind w:left="980" w:hanging="648"/>
        <w:spacing w:after="0" w:line="259"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deposit mix continues to reflect significant shares for savings deposits and demand deposits, which grew QoQ and YoY. At the end of Sep 19 these deposits represented 61.7% of total deposits (vs. 60.6% in Jun 19 and 61.3% in Sep 18). Both types of deposits are considered lower-cost alternatives within the deposit mix. Also, it is important to note on-going growth in time deposits, which negatively impacted the funding cost through volume and rate effects.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jc w:val="both"/>
        <w:ind w:left="980" w:hanging="648"/>
        <w:spacing w:after="0" w:line="259"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Within other sources of funding, the QoQ analysis reveals a contraction that was mainly associated with a decrease in the volume of BCRP Instruments, which fell from 4.8% at the end of Jun 19 to 3.0% at the close of Sep 19, to post the lowest level reported since 2014. The drop in volume was also due, albeit to a lesser extent, to a decrease in Due to banks and Correspondents (6.2% in Sep 19 vs. 6.8% in Jun 19) and in Repurchase agreements (1.5% in Sep 19 vs. 1.8% in Jun 19).</w:t>
      </w:r>
    </w:p>
    <w:p>
      <w:pPr>
        <w:spacing w:after="0" w:line="186" w:lineRule="exact"/>
        <w:rPr>
          <w:rFonts w:ascii="Arial" w:cs="Arial" w:eastAsia="Arial" w:hAnsi="Arial"/>
          <w:sz w:val="18"/>
          <w:szCs w:val="18"/>
          <w:color w:val="auto"/>
        </w:rPr>
      </w:pPr>
    </w:p>
    <w:p>
      <w:pPr>
        <w:jc w:val="both"/>
        <w:ind w:left="980" w:hanging="648"/>
        <w:spacing w:after="0" w:line="264"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is important to note the growth in Bonds and notes issued (14.0% QoQ and 12.9% YoY), which posted an increase in their share of other sources of funding (53.7% in Sep 19 vs. 45.6% in Jun 19 and 50.2% in Sep 18). This evolution was attributable to a liability management of corporate bond issuances at BCP Stand-alone.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All of the aforementioned has allowed Credicorp to maintain a relatively stable cost of funding since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2.2. Deposits</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7"/>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Deposits and obligations</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ind w:left="360"/>
              <w:spacing w:after="0"/>
              <w:rPr>
                <w:sz w:val="20"/>
                <w:szCs w:val="20"/>
                <w:color w:val="auto"/>
              </w:rPr>
            </w:pPr>
            <w:r>
              <w:rPr>
                <w:rFonts w:ascii="Arial" w:cs="Arial" w:eastAsia="Arial" w:hAnsi="Arial"/>
                <w:sz w:val="18"/>
                <w:szCs w:val="18"/>
                <w:b w:val="1"/>
                <w:bCs w:val="1"/>
                <w:color w:val="auto"/>
              </w:rPr>
              <w:t>As of</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gridSpan w:val="3"/>
          </w:tcPr>
          <w:p>
            <w:pPr>
              <w:ind w:left="100"/>
              <w:spacing w:after="0"/>
              <w:rPr>
                <w:sz w:val="20"/>
                <w:szCs w:val="20"/>
                <w:color w:val="auto"/>
              </w:rPr>
            </w:pPr>
            <w:r>
              <w:rPr>
                <w:rFonts w:ascii="Arial" w:cs="Arial" w:eastAsia="Arial" w:hAnsi="Arial"/>
                <w:sz w:val="18"/>
                <w:szCs w:val="18"/>
                <w:b w:val="1"/>
                <w:bCs w:val="1"/>
                <w:color w:val="auto"/>
                <w:w w:val="97"/>
              </w:rPr>
              <w:t>% change</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Sep 18</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Jun 19</w:t>
            </w:r>
          </w:p>
        </w:tc>
        <w:tc>
          <w:tcPr>
            <w:tcW w:w="1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Sep 19</w:t>
            </w:r>
          </w:p>
        </w:tc>
        <w:tc>
          <w:tcPr>
            <w:tcW w:w="2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w w:val="97"/>
              </w:rPr>
              <w:t>QoQ</w:t>
            </w:r>
          </w:p>
        </w:tc>
        <w:tc>
          <w:tcPr>
            <w:tcW w:w="34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Demand deposits</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29,312,361</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29,863,335</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32,626,001</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Saving deposits</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30,396,175</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32,604,309</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33,681,765</w:t>
            </w:r>
          </w:p>
        </w:tc>
        <w:tc>
          <w:tcPr>
            <w:tcW w:w="780" w:type="dxa"/>
            <w:vAlign w:val="bottom"/>
          </w:tcPr>
          <w:p>
            <w:pPr>
              <w:spacing w:after="0"/>
              <w:rPr>
                <w:sz w:val="18"/>
                <w:szCs w:val="18"/>
                <w:color w:val="auto"/>
              </w:rPr>
            </w:pP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Time deposits</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30,186,076</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32,472,216</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33,194,331</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Severance indemnity deposits</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6,923,829</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7,609,448</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7,205,449</w:t>
            </w:r>
          </w:p>
        </w:tc>
        <w:tc>
          <w:tcPr>
            <w:tcW w:w="780" w:type="dxa"/>
            <w:vAlign w:val="bottom"/>
          </w:tcPr>
          <w:p>
            <w:pPr>
              <w:spacing w:after="0"/>
              <w:rPr>
                <w:sz w:val="18"/>
                <w:szCs w:val="18"/>
                <w:color w:val="auto"/>
              </w:rPr>
            </w:pP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w w:val="97"/>
              </w:rPr>
              <w:t>-5.3%</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556,970</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607,736</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684,174</w:t>
            </w:r>
          </w:p>
        </w:tc>
        <w:tc>
          <w:tcPr>
            <w:tcW w:w="7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0"/>
              </w:rPr>
              <w:t>12.6%</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23"/>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Deposits and obligations</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97,375,411</w:t>
            </w:r>
          </w:p>
        </w:tc>
        <w:tc>
          <w:tcPr>
            <w:tcW w:w="20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103,157,044</w:t>
            </w:r>
          </w:p>
        </w:tc>
        <w:tc>
          <w:tcPr>
            <w:tcW w:w="18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107,391,720</w:t>
            </w:r>
          </w:p>
        </w:tc>
        <w:tc>
          <w:tcPr>
            <w:tcW w:w="2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4.1</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10.3</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3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Deposits and obligations </w:t>
      </w:r>
      <w:r>
        <w:rPr>
          <w:rFonts w:ascii="Arial" w:cs="Arial" w:eastAsia="Arial" w:hAnsi="Arial"/>
          <w:sz w:val="18"/>
          <w:szCs w:val="18"/>
          <w:color w:val="auto"/>
        </w:rPr>
        <w:t>reported growth of 4.1% QoQ. The QoQ evolution of the deposit mix shows:</w:t>
      </w:r>
    </w:p>
    <w:p>
      <w:pPr>
        <w:spacing w:after="0" w:line="225" w:lineRule="exact"/>
        <w:rPr>
          <w:sz w:val="20"/>
          <w:szCs w:val="20"/>
          <w:color w:val="auto"/>
        </w:rPr>
      </w:pPr>
    </w:p>
    <w:p>
      <w:pPr>
        <w:jc w:val="both"/>
        <w:ind w:left="980" w:hanging="648"/>
        <w:spacing w:after="0" w:line="261"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An increase in </w:t>
      </w:r>
      <w:r>
        <w:rPr>
          <w:rFonts w:ascii="Arial" w:cs="Arial" w:eastAsia="Arial" w:hAnsi="Arial"/>
          <w:sz w:val="18"/>
          <w:szCs w:val="18"/>
          <w:b w:val="1"/>
          <w:bCs w:val="1"/>
          <w:color w:val="auto"/>
        </w:rPr>
        <w:t>demand deposits</w:t>
      </w:r>
      <w:r>
        <w:rPr>
          <w:rFonts w:ascii="Arial" w:cs="Arial" w:eastAsia="Arial" w:hAnsi="Arial"/>
          <w:sz w:val="18"/>
          <w:szCs w:val="18"/>
          <w:color w:val="auto"/>
        </w:rPr>
        <w:t>, which grew 9.3% QoQ due to an increase in the volume of interest-bearing and non-interest bearing demand deposits (50% increase in each deposit type) at BCP Stand-alone. It is important to note that growth in non-interest bearing deposits was seen primarily in LC (75% of the increase in LC) while growth in interest-bearing demand deposits is associated with FC (86% of the increase in FC).</w:t>
      </w:r>
    </w:p>
    <w:p>
      <w:pPr>
        <w:spacing w:after="0" w:line="180" w:lineRule="exact"/>
        <w:rPr>
          <w:rFonts w:ascii="Arial" w:cs="Arial" w:eastAsia="Arial" w:hAnsi="Arial"/>
          <w:sz w:val="18"/>
          <w:szCs w:val="18"/>
          <w:color w:val="auto"/>
        </w:rPr>
      </w:pPr>
    </w:p>
    <w:p>
      <w:pPr>
        <w:jc w:val="both"/>
        <w:ind w:left="980" w:hanging="648"/>
        <w:spacing w:after="0" w:line="266"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Growth in </w:t>
      </w:r>
      <w:r>
        <w:rPr>
          <w:rFonts w:ascii="Arial" w:cs="Arial" w:eastAsia="Arial" w:hAnsi="Arial"/>
          <w:sz w:val="18"/>
          <w:szCs w:val="18"/>
          <w:b w:val="1"/>
          <w:bCs w:val="1"/>
          <w:color w:val="auto"/>
        </w:rPr>
        <w:t>savings deposits</w:t>
      </w:r>
      <w:r>
        <w:rPr>
          <w:rFonts w:ascii="Arial" w:cs="Arial" w:eastAsia="Arial" w:hAnsi="Arial"/>
          <w:sz w:val="18"/>
          <w:szCs w:val="18"/>
          <w:color w:val="auto"/>
        </w:rPr>
        <w:t>, mainly in LC, reflects the results of campaigns to capture savings, mainly through digital channels, which have good acceptance and use levels among BCP Stand-alone’s clients. These high levels of acceptance are mainly attributable to the use of the Yape payment application, which hit a level of a million and a half users in 3Q19.</w:t>
      </w:r>
    </w:p>
    <w:p>
      <w:pPr>
        <w:spacing w:after="0" w:line="176" w:lineRule="exact"/>
        <w:rPr>
          <w:rFonts w:ascii="Arial" w:cs="Arial" w:eastAsia="Arial" w:hAnsi="Arial"/>
          <w:sz w:val="18"/>
          <w:szCs w:val="18"/>
          <w:color w:val="auto"/>
        </w:rPr>
      </w:pPr>
    </w:p>
    <w:p>
      <w:pPr>
        <w:jc w:val="both"/>
        <w:ind w:left="980" w:hanging="648"/>
        <w:spacing w:after="0" w:line="266"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The increase in the volume of </w:t>
      </w:r>
      <w:r>
        <w:rPr>
          <w:rFonts w:ascii="Arial" w:cs="Arial" w:eastAsia="Arial" w:hAnsi="Arial"/>
          <w:sz w:val="18"/>
          <w:szCs w:val="18"/>
          <w:b w:val="1"/>
          <w:bCs w:val="1"/>
          <w:color w:val="auto"/>
        </w:rPr>
        <w:t>time deposits</w:t>
      </w:r>
      <w:r>
        <w:rPr>
          <w:rFonts w:ascii="Arial" w:cs="Arial" w:eastAsia="Arial" w:hAnsi="Arial"/>
          <w:sz w:val="18"/>
          <w:szCs w:val="18"/>
          <w:color w:val="auto"/>
        </w:rPr>
        <w:t xml:space="preserve"> at BCP Stand-alone, which was primarily attributable to an increase in the deposit balances of Wholesale Banking clients in FC and to the evolution at BCP Bolivia, which rolled out a strategy to capture deposits that are more stable in the mid-term.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was attenuated by the QoQ drop in:</w:t>
      </w:r>
    </w:p>
    <w:p>
      <w:pPr>
        <w:spacing w:after="0" w:line="221" w:lineRule="exact"/>
        <w:rPr>
          <w:sz w:val="20"/>
          <w:szCs w:val="20"/>
          <w:color w:val="auto"/>
        </w:rPr>
      </w:pPr>
    </w:p>
    <w:p>
      <w:pPr>
        <w:ind w:left="980" w:hanging="648"/>
        <w:spacing w:after="0" w:line="282"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Severance indemnity deposits, </w:t>
      </w:r>
      <w:r>
        <w:rPr>
          <w:rFonts w:ascii="Arial" w:cs="Arial" w:eastAsia="Arial" w:hAnsi="Arial"/>
          <w:sz w:val="18"/>
          <w:szCs w:val="18"/>
          <w:color w:val="auto"/>
        </w:rPr>
        <w:t>due to seasonality, given that clients use the surplus available in their severance accounts (after the first yearly</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is made in 2Q).</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w:t>
      </w:r>
      <w:r>
        <w:rPr>
          <w:rFonts w:ascii="Arial" w:cs="Arial" w:eastAsia="Arial" w:hAnsi="Arial"/>
          <w:sz w:val="16"/>
          <w:szCs w:val="16"/>
          <w:b w:val="1"/>
          <w:bCs w:val="1"/>
          <w:color w:val="auto"/>
        </w:rPr>
        <w:t>YoY</w:t>
      </w:r>
      <w:r>
        <w:rPr>
          <w:rFonts w:ascii="Arial" w:cs="Arial" w:eastAsia="Arial" w:hAnsi="Arial"/>
          <w:sz w:val="16"/>
          <w:szCs w:val="16"/>
          <w:color w:val="auto"/>
        </w:rPr>
        <w:t xml:space="preserve"> terms, total </w:t>
      </w:r>
      <w:r>
        <w:rPr>
          <w:rFonts w:ascii="Arial" w:cs="Arial" w:eastAsia="Arial" w:hAnsi="Arial"/>
          <w:sz w:val="16"/>
          <w:szCs w:val="16"/>
          <w:b w:val="1"/>
          <w:bCs w:val="1"/>
          <w:color w:val="auto"/>
        </w:rPr>
        <w:t>deposits and obligations</w:t>
      </w:r>
      <w:r>
        <w:rPr>
          <w:rFonts w:ascii="Arial" w:cs="Arial" w:eastAsia="Arial" w:hAnsi="Arial"/>
          <w:sz w:val="16"/>
          <w:szCs w:val="16"/>
          <w:color w:val="auto"/>
        </w:rPr>
        <w:t xml:space="preserve"> reported growth in all types of deposits, which reflects an increase of 10.3% in the main source of funding.</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2.2.1. Deposits: dollarization level</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Dollarization Level of Deposits </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 BAP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-46355</wp:posOffset>
            </wp:positionV>
            <wp:extent cx="4528185" cy="1663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528185" cy="1663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(1) Q-end balances.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Credicorp - Deposit Dollarization measured in quarter-end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154940</wp:posOffset>
            </wp:positionV>
            <wp:extent cx="5883275" cy="16205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83275" cy="162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dollarization level of deposits at Credicorp fell slightly </w:t>
      </w:r>
      <w:r>
        <w:rPr>
          <w:rFonts w:ascii="Arial" w:cs="Arial" w:eastAsia="Arial" w:hAnsi="Arial"/>
          <w:sz w:val="17"/>
          <w:szCs w:val="17"/>
          <w:b w:val="1"/>
          <w:bCs w:val="1"/>
          <w:color w:val="auto"/>
        </w:rPr>
        <w:t>QoQ</w:t>
      </w:r>
      <w:r>
        <w:rPr>
          <w:rFonts w:ascii="Arial" w:cs="Arial" w:eastAsia="Arial" w:hAnsi="Arial"/>
          <w:sz w:val="17"/>
          <w:szCs w:val="17"/>
          <w:color w:val="auto"/>
        </w:rPr>
        <w:t xml:space="preserve"> given that growth in LC volumes surpassed the expansion posted by FC volumes.</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Growth in volumes in both LC and FC was posted for all types of deposits with the exception of Severance indemnity deposits. The increase in the LC volume was attributable primarily to demand deposits, particularly non-interest bearing deposits, and to a lesser extent to savings deposits. The increase in FC was due to growth in the level of demand deposits, specifically interest-bearing deposits, and in time deposits.</w:t>
      </w:r>
    </w:p>
    <w:p>
      <w:pPr>
        <w:spacing w:after="0" w:line="17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YoY evolution</w:t>
      </w:r>
      <w:r>
        <w:rPr>
          <w:rFonts w:ascii="Arial" w:cs="Arial" w:eastAsia="Arial" w:hAnsi="Arial"/>
          <w:sz w:val="18"/>
          <w:szCs w:val="18"/>
          <w:color w:val="auto"/>
        </w:rPr>
        <w:t xml:space="preserve"> followed a trend similar to that posted for the QoQ evolution; YoY, LC deposits grew 13.1% while FC deposits expanded 7.7%. The aforementioned was attributable to the fact that all LC deposits posted growth, led by an increase in savings deposits and demand deposits. Deposits in FC grew across deposit types with the exception of Severance indemnity deposits. These results are proof that we are on track in terms of our goal to maintain an asset and liability currency match that is aligned with Credicorp’s appetite.</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2.2.2. Market share in Deposits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share in Peru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154940</wp:posOffset>
            </wp:positionV>
            <wp:extent cx="6654800" cy="29927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54800" cy="299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Source: SBS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Peruvian Financial System</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end of Aug 19, Credicorp’s subsidiaries in Peru, BCP Stand-alone and Mibanco, reported an MS of 30.2% and 2.8% (in comparison to 29.1% and 2.8% at the end of Jun 19 respectively). With these results, Credicorp continued to lead the market for total deposits with a share that considerably outpaces that of its closest competitor (with an MS of 19.0%).</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YoY analysis, BCP Stand-alone’s MS also grew with regard to the figure in Sep 18. This was primarily attributable to an increase in the MS of demand deposits and time deposits. Mibanco’s MS fell YoY (2.8% Aug 19 vs. 3.1% Sep 18) due to a contraction in the MS of time deposits, which feel from 6.7% in Sep 18 to 6.0% in Aug 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Bolivian Financial System</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BCP Bolivia continued to rank fifth in the Bolivian financial system with an MS of 9.6% at the end of Sep 19 (the same level reported in Jun 19). In the YoY analysis, the MS fell slightly in comparison to the figure posted at the end of Sep 18 (9.9%).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gridSpan w:val="3"/>
          </w:tcPr>
          <w:p>
            <w:pPr>
              <w:spacing w:after="0"/>
              <w:rPr>
                <w:sz w:val="20"/>
                <w:szCs w:val="20"/>
                <w:color w:val="auto"/>
              </w:rPr>
            </w:pPr>
            <w:r>
              <w:rPr>
                <w:rFonts w:ascii="Arial" w:cs="Arial" w:eastAsia="Arial" w:hAnsi="Arial"/>
                <w:sz w:val="18"/>
                <w:szCs w:val="18"/>
                <w:b w:val="1"/>
                <w:bCs w:val="1"/>
                <w:color w:val="auto"/>
              </w:rPr>
              <w:t>2.3. Other funding sources</w:t>
            </w: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27"/>
        </w:trPr>
        <w:tc>
          <w:tcPr>
            <w:tcW w:w="3720" w:type="dxa"/>
            <w:vAlign w:val="bottom"/>
            <w:gridSpan w:val="3"/>
          </w:tcPr>
          <w:p>
            <w:pPr>
              <w:spacing w:after="0"/>
              <w:rPr>
                <w:sz w:val="20"/>
                <w:szCs w:val="20"/>
                <w:color w:val="auto"/>
              </w:rPr>
            </w:pPr>
            <w:r>
              <w:rPr>
                <w:rFonts w:ascii="Arial" w:cs="Arial" w:eastAsia="Arial" w:hAnsi="Arial"/>
                <w:sz w:val="18"/>
                <w:szCs w:val="18"/>
                <w:b w:val="1"/>
                <w:bCs w:val="1"/>
                <w:color w:val="auto"/>
              </w:rPr>
              <w:t>Other funding sources</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3"/>
          </w:tcPr>
          <w:p>
            <w:pPr>
              <w:ind w:left="260"/>
              <w:spacing w:after="0"/>
              <w:rPr>
                <w:sz w:val="20"/>
                <w:szCs w:val="20"/>
                <w:color w:val="auto"/>
              </w:rPr>
            </w:pPr>
            <w:r>
              <w:rPr>
                <w:rFonts w:ascii="Arial" w:cs="Arial" w:eastAsia="Arial" w:hAnsi="Arial"/>
                <w:sz w:val="18"/>
                <w:szCs w:val="18"/>
                <w:b w:val="1"/>
                <w:bCs w:val="1"/>
                <w:color w:val="auto"/>
              </w:rPr>
              <w:t>As of</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gridSpan w:val="4"/>
          </w:tcPr>
          <w:p>
            <w:pPr>
              <w:ind w:left="140"/>
              <w:spacing w:after="0"/>
              <w:rPr>
                <w:sz w:val="20"/>
                <w:szCs w:val="20"/>
                <w:color w:val="auto"/>
              </w:rPr>
            </w:pPr>
            <w:r>
              <w:rPr>
                <w:rFonts w:ascii="Arial" w:cs="Arial" w:eastAsia="Arial" w:hAnsi="Arial"/>
                <w:sz w:val="18"/>
                <w:szCs w:val="18"/>
                <w:b w:val="1"/>
                <w:bCs w:val="1"/>
                <w:color w:val="auto"/>
                <w:w w:val="97"/>
              </w:rPr>
              <w:t>% change</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4"/>
        </w:trPr>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Sep 18</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Jun 19</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Sep 19</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w w:val="87"/>
              </w:rPr>
              <w:t>QoQ</w:t>
            </w:r>
          </w:p>
        </w:tc>
        <w:tc>
          <w:tcPr>
            <w:tcW w:w="38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EEFF"/>
            </w:tcBorders>
          </w:tcPr>
          <w:p>
            <w:pPr>
              <w:spacing w:after="0"/>
              <w:rPr>
                <w:sz w:val="20"/>
                <w:szCs w:val="20"/>
                <w:color w:val="auto"/>
              </w:rPr>
            </w:pPr>
          </w:p>
        </w:tc>
      </w:tr>
      <w:tr>
        <w:trPr>
          <w:trHeight w:val="21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Due to banks and correspondents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7,509,183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9,222,278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8,624,286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16"/>
        </w:trPr>
        <w:tc>
          <w:tcPr>
            <w:tcW w:w="3720" w:type="dxa"/>
            <w:vAlign w:val="bottom"/>
            <w:gridSpan w:val="3"/>
          </w:tcPr>
          <w:p>
            <w:pPr>
              <w:spacing w:after="0"/>
              <w:rPr>
                <w:sz w:val="20"/>
                <w:szCs w:val="20"/>
                <w:color w:val="auto"/>
              </w:rPr>
            </w:pPr>
            <w:r>
              <w:rPr>
                <w:rFonts w:ascii="Arial" w:cs="Arial" w:eastAsia="Arial" w:hAnsi="Arial"/>
                <w:sz w:val="18"/>
                <w:szCs w:val="18"/>
                <w:color w:val="auto"/>
              </w:rPr>
              <w:t>BCRP instruments</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4,851,806</w:t>
            </w: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6,304,186</w:t>
            </w: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4,144,908</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w w:val="87"/>
              </w:rPr>
              <w:t>-34.3%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-14.6%</w:t>
            </w:r>
          </w:p>
        </w:tc>
      </w:tr>
      <w:tr>
        <w:trPr>
          <w:trHeight w:val="216"/>
        </w:trPr>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Repurchase agreements</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2,739,630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2,455,665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2,031,025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87"/>
              </w:rPr>
              <w:t>-17.3%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30"/>
        </w:trPr>
        <w:tc>
          <w:tcPr>
            <w:tcW w:w="3720" w:type="dxa"/>
            <w:vAlign w:val="bottom"/>
            <w:gridSpan w:val="3"/>
          </w:tcPr>
          <w:p>
            <w:pPr>
              <w:spacing w:after="0"/>
              <w:rPr>
                <w:sz w:val="20"/>
                <w:szCs w:val="20"/>
                <w:color w:val="auto"/>
              </w:rPr>
            </w:pPr>
            <w:r>
              <w:rPr>
                <w:rFonts w:ascii="Arial" w:cs="Arial" w:eastAsia="Arial" w:hAnsi="Arial"/>
                <w:sz w:val="18"/>
                <w:szCs w:val="18"/>
                <w:color w:val="auto"/>
              </w:rPr>
              <w:t>Bonds and notes issued</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15,194,775</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15,058,760</w:t>
            </w: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17,160,564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w w:val="97"/>
              </w:rPr>
              <w:t>14.0%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12.9%</w:t>
            </w:r>
          </w:p>
        </w:tc>
      </w:tr>
      <w:tr>
        <w:trPr>
          <w:trHeight w:val="210"/>
        </w:trPr>
        <w:tc>
          <w:tcPr>
            <w:tcW w:w="37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other funding sources</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30,295,394</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33,040,889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31,960,783</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Total of other funding sources</w:t>
      </w:r>
      <w:r>
        <w:rPr>
          <w:rFonts w:ascii="Arial" w:cs="Arial" w:eastAsia="Arial" w:hAnsi="Arial"/>
          <w:sz w:val="18"/>
          <w:szCs w:val="18"/>
          <w:color w:val="auto"/>
        </w:rPr>
        <w:t xml:space="preserve"> fell -3.3% QoQ. This was mainly attributable to a decrease in the level of BCRP Instruments and, to a lesser extent, to the contraction in Due to banks and correspondents and Repurchase agreements. The aforementioned was attenuated by the growth in Bonds and notes issued due to a variation in the liability management at BCP Stand-alone.</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jc w:val="both"/>
        <w:spacing w:after="0" w:line="282" w:lineRule="auto"/>
        <w:rPr>
          <w:sz w:val="20"/>
          <w:szCs w:val="20"/>
          <w:color w:val="auto"/>
        </w:rPr>
      </w:pPr>
      <w:r>
        <w:rPr>
          <w:rFonts w:ascii="Arial" w:cs="Arial" w:eastAsia="Arial" w:hAnsi="Arial"/>
          <w:sz w:val="18"/>
          <w:szCs w:val="18"/>
          <w:b w:val="1"/>
          <w:bCs w:val="1"/>
          <w:color w:val="auto"/>
        </w:rPr>
        <w:t>Due to banks and correspondents</w:t>
      </w:r>
      <w:r>
        <w:rPr>
          <w:rFonts w:ascii="Arial" w:cs="Arial" w:eastAsia="Arial" w:hAnsi="Arial"/>
          <w:sz w:val="18"/>
          <w:szCs w:val="18"/>
          <w:color w:val="auto"/>
        </w:rPr>
        <w:t>, which contracted due to: (i) a drop in the level of debt held with foreign financial institutions after some of BCP Stand-alone’s obligations came due in the month of August for a total of $300 million and (ii) a drop in the exchange rate.</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In the case of </w:t>
      </w:r>
      <w:r>
        <w:rPr>
          <w:rFonts w:ascii="Arial" w:cs="Arial" w:eastAsia="Arial" w:hAnsi="Arial"/>
          <w:sz w:val="18"/>
          <w:szCs w:val="18"/>
          <w:b w:val="1"/>
          <w:bCs w:val="1"/>
          <w:color w:val="auto"/>
        </w:rPr>
        <w:t>BCRP Instruments</w:t>
      </w:r>
      <w:r>
        <w:rPr>
          <w:rFonts w:ascii="Arial" w:cs="Arial" w:eastAsia="Arial" w:hAnsi="Arial"/>
          <w:sz w:val="18"/>
          <w:szCs w:val="18"/>
          <w:color w:val="auto"/>
        </w:rPr>
        <w:t>, the QoQ decline was attributable to a drop in the level of regular repos with BCRP, which expired. These instruments dropped at both BCP Stand-alone and Mibanco.</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Repurchase agreements </w:t>
      </w:r>
      <w:r>
        <w:rPr>
          <w:rFonts w:ascii="Arial" w:cs="Arial" w:eastAsia="Arial" w:hAnsi="Arial"/>
          <w:sz w:val="18"/>
          <w:szCs w:val="18"/>
          <w:color w:val="auto"/>
        </w:rPr>
        <w:t>fell QoQ after repos and Certificates of Deposit (CD) expired. The majority of these expirations were registered in LC through BCP</w:t>
      </w:r>
      <w:r>
        <w:rPr>
          <w:rFonts w:ascii="Arial" w:cs="Arial" w:eastAsia="Arial" w:hAnsi="Arial"/>
          <w:sz w:val="18"/>
          <w:szCs w:val="18"/>
          <w:b w:val="1"/>
          <w:bCs w:val="1"/>
          <w:color w:val="auto"/>
        </w:rPr>
        <w:t xml:space="preserve"> </w:t>
      </w:r>
      <w:r>
        <w:rPr>
          <w:rFonts w:ascii="Arial" w:cs="Arial" w:eastAsia="Arial" w:hAnsi="Arial"/>
          <w:sz w:val="18"/>
          <w:szCs w:val="18"/>
          <w:color w:val="auto"/>
        </w:rPr>
        <w:t>Stand-alone and in FC through ASB.</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Bonds and notes issued </w:t>
      </w:r>
      <w:r>
        <w:rPr>
          <w:rFonts w:ascii="Arial" w:cs="Arial" w:eastAsia="Arial" w:hAnsi="Arial"/>
          <w:sz w:val="18"/>
          <w:szCs w:val="18"/>
          <w:color w:val="auto"/>
        </w:rPr>
        <w:t>were the only funding source that posted growth QoQ. This increase was attributable to the liability management of corporate bonds</w:t>
      </w:r>
      <w:r>
        <w:rPr>
          <w:rFonts w:ascii="Arial" w:cs="Arial" w:eastAsia="Arial" w:hAnsi="Arial"/>
          <w:sz w:val="18"/>
          <w:szCs w:val="18"/>
          <w:b w:val="1"/>
          <w:bCs w:val="1"/>
          <w:color w:val="auto"/>
        </w:rPr>
        <w:t xml:space="preserve"> </w:t>
      </w:r>
      <w:r>
        <w:rPr>
          <w:rFonts w:ascii="Arial" w:cs="Arial" w:eastAsia="Arial" w:hAnsi="Arial"/>
          <w:sz w:val="18"/>
          <w:szCs w:val="18"/>
          <w:color w:val="auto"/>
        </w:rPr>
        <w:t>at BCP Stand-alone. Growth in LC was attributable to restructuring operations to convert a S/2,000 million issuance with an expiration date in 2020 and a coupon rate of 4.85% into a new issuance composed of a repurchase of S/1,600 million plus “New Money” for S/900 million with a new expiration date in September 2024 and a coupon rate of 4.60%. In the case of FC, an issuance of $700 million with an expiration date in 2020 and a coupon rate of 5.375% into a new issuance composed of a repurchase of $425 million plus “New Money” for $275 million with a new expiration date in January 2025 and a coupon rate of 2.70%.</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w:t>
      </w:r>
      <w:r>
        <w:rPr>
          <w:rFonts w:ascii="Arial" w:cs="Arial" w:eastAsia="Arial" w:hAnsi="Arial"/>
          <w:sz w:val="18"/>
          <w:szCs w:val="18"/>
          <w:color w:val="auto"/>
        </w:rPr>
        <w:t xml:space="preserve"> evolution, other funding sources posted growth of 5.5%. This was attributable to an increase in the level of Bonds and notes issued and Due to banks and correspondents, mainly at BCP Stand-alone and in both currencies.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Loan / Deposit (L/D)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 Deposit Ratio by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154940</wp:posOffset>
            </wp:positionV>
            <wp:extent cx="4056380" cy="1680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056380" cy="1680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L/D ratio at Credicorp fell QoQ, situating at 104.5%. This was attributable to the fact that growth in deposits (+4.1%) outpaced the increase registered by loans (+2.6%).</w:t>
      </w:r>
    </w:p>
    <w:p>
      <w:pPr>
        <w:spacing w:after="0" w:line="17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the analysis by subsidiary reveals the same trend at BCP Stand-alone (105.9% Sep 19 vs. 107.5% Jun 19). The QoQ drop in the L/D at BCP Stand-alone took place in a scenario in which growth in the deposit volume (+4.2%) was greater than the expansion registered for loans (+2.6%). On the deposit side, the increase was driven by an expansion in the level of demand deposits and savings deposits. In the case of Mibanco, QoQ growth in the L/D was attributable to the fact that loan growth (+0.9%) outpaced the expansion in deposits (0.4%).</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YoY analysis, the L/D for Credicorp and its subsidiaries mirrors the dynamism seen in the QoQ analysis. At the Credicorp level, on-going growth in deposits outpaces the expansion registered for loans (10.3% vs. 6.8%, respectively).</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Loan / Deposit Ratio by Currency</w:t>
      </w:r>
    </w:p>
    <w:p>
      <w:pPr>
        <w:spacing w:after="0" w:line="225" w:lineRule="exact"/>
        <w:rPr>
          <w:sz w:val="20"/>
          <w:szCs w:val="20"/>
          <w:color w:val="auto"/>
        </w:rPr>
      </w:pPr>
    </w:p>
    <w:p>
      <w:pPr>
        <w:ind w:left="2200"/>
        <w:spacing w:after="0"/>
        <w:tabs>
          <w:tab w:leader="none" w:pos="7920" w:val="left"/>
        </w:tabs>
        <w:rPr>
          <w:sz w:val="20"/>
          <w:szCs w:val="20"/>
          <w:color w:val="auto"/>
        </w:rPr>
      </w:pPr>
      <w:r>
        <w:rPr>
          <w:rFonts w:ascii="Arial" w:cs="Arial" w:eastAsia="Arial" w:hAnsi="Arial"/>
          <w:sz w:val="18"/>
          <w:szCs w:val="18"/>
          <w:b w:val="1"/>
          <w:bCs w:val="1"/>
          <w:color w:val="auto"/>
        </w:rPr>
        <w:t>Local Currency</w:t>
      </w:r>
      <w:r>
        <w:rPr>
          <w:sz w:val="20"/>
          <w:szCs w:val="20"/>
          <w:color w:val="auto"/>
        </w:rPr>
        <w:tab/>
      </w:r>
      <w:r>
        <w:rPr>
          <w:rFonts w:ascii="Arial" w:cs="Arial" w:eastAsia="Arial" w:hAnsi="Arial"/>
          <w:sz w:val="16"/>
          <w:szCs w:val="16"/>
          <w:b w:val="1"/>
          <w:bCs w:val="1"/>
          <w:color w:val="auto"/>
        </w:rPr>
        <w:t>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154940</wp:posOffset>
            </wp:positionV>
            <wp:extent cx="6843395" cy="1560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43395" cy="1560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the QoQ analysis by currency, the L/D ratio in LC at Credicorp remained stable given that the increase in deposits and loans was proportional. The L/D in FC at Credicorp fell QoQ in a scenario in which growth in deposits (+7.7%) outpaced the expansion registered for loans (+2.6%). The aforementioned was driven by growth in FC deposits (+4.2%) and by a contraction in FC loans (-0.9%) at BCP Stand-alone.</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YoY analysis, Credicorp reported a drop in the L/D ratio for LC and FC. This was primarily driven by the fact that the level of deposits in both currencies grew at a faster rate than the expansion registered for loans.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Funding Cost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Funding Cost – Credicorp </w:t>
      </w:r>
      <w:r>
        <w:rPr>
          <w:rFonts w:ascii="Arial" w:cs="Arial" w:eastAsia="Arial" w:hAnsi="Arial"/>
          <w:sz w:val="30"/>
          <w:szCs w:val="30"/>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90170</wp:posOffset>
            </wp:positionV>
            <wp:extent cx="5754370" cy="22555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255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400" w:firstLine="1157"/>
        <w:spacing w:after="0" w:line="501" w:lineRule="auto"/>
        <w:tabs>
          <w:tab w:leader="none" w:pos="1404"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funding cost by currency is calculated with the average of period-beginning and period-end balances. Credicorp’s funding cost increased QoQ and YoY. The QoQ evolution shows:</w:t>
      </w:r>
    </w:p>
    <w:p>
      <w:pPr>
        <w:jc w:val="both"/>
        <w:ind w:left="980" w:hanging="648"/>
        <w:spacing w:after="0" w:line="264"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Growth in the funding cost in LC (+31 bps), was mainly attributable to an increase in interest expenses on bonds and notes issued, which represents 92% of the increase in LC expenses. Expansion in this line was associated with the liability management of bonds at BCP Stand-alone. Excluding the liability management one-off effects, funding cost in LC is 2.61%.</w:t>
      </w:r>
    </w:p>
    <w:p>
      <w:pPr>
        <w:spacing w:after="0" w:line="181"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slight increase in the total funding cost (+1 bps), was primarily due to an increase in expenses for bonds and notes issued, which accounted for 45% of the increase in expenses, and for deposits, which accounted 40% of the increase.</w:t>
      </w:r>
    </w:p>
    <w:p>
      <w:pPr>
        <w:spacing w:after="0" w:line="170" w:lineRule="exact"/>
        <w:rPr>
          <w:rFonts w:ascii="Arial" w:cs="Arial" w:eastAsia="Arial" w:hAnsi="Arial"/>
          <w:sz w:val="18"/>
          <w:szCs w:val="18"/>
          <w:color w:val="auto"/>
        </w:rPr>
      </w:pPr>
    </w:p>
    <w:p>
      <w:pPr>
        <w:jc w:val="both"/>
        <w:ind w:left="980"/>
        <w:spacing w:after="0" w:line="259" w:lineRule="auto"/>
        <w:rPr>
          <w:rFonts w:ascii="Arial" w:cs="Arial" w:eastAsia="Arial" w:hAnsi="Arial"/>
          <w:sz w:val="18"/>
          <w:szCs w:val="18"/>
          <w:color w:val="auto"/>
        </w:rPr>
      </w:pPr>
      <w:r>
        <w:rPr>
          <w:rFonts w:ascii="Arial" w:cs="Arial" w:eastAsia="Arial" w:hAnsi="Arial"/>
          <w:sz w:val="18"/>
          <w:szCs w:val="18"/>
          <w:color w:val="auto"/>
        </w:rPr>
        <w:t>In the case of deposits, the increase was attributable to the volume effect and deposit mix given that interest-bearing demand deposits and time deposits represent 46% of the growth in total deposits. The aforementioned was partially attenuated by the increase in non-interest bearing deposits and savings deposits, which grew 5.4% and 3.3% respectively. These last two deposits are the lowest cost alternatives in the funding mix. In this context, the ratio remained relatively stable.</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jc w:val="both"/>
        <w:ind w:left="980" w:hanging="648"/>
        <w:spacing w:after="0" w:line="264"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reduction registered in the funding cost in FC (-26 bps) was primarily attributable to a decrease in interest expenses on bonds and notes after the rate for the liability management bonds at BCP Stand-alone dropped (going from 5.375% to 2.70%), which offset the volume effect. Excluding liability management one-off effects, funding cost in FC is 2.30%.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the YoY analysis, growth in the funding cost was attributable to:</w:t>
      </w:r>
    </w:p>
    <w:p>
      <w:pPr>
        <w:spacing w:after="0" w:line="225" w:lineRule="exact"/>
        <w:rPr>
          <w:sz w:val="20"/>
          <w:szCs w:val="20"/>
          <w:color w:val="auto"/>
        </w:rPr>
      </w:pPr>
    </w:p>
    <w:p>
      <w:pPr>
        <w:jc w:val="both"/>
        <w:ind w:left="980" w:hanging="648"/>
        <w:spacing w:after="0" w:line="259"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volume effect and mix, where time deposits increased 10% to represent 30% of the growth in the deposit volume. Consequently, time deposits registered an increase in their share of the funding mix. It is important to note that 73% of the increase in interest expenses on deposits was attributable to LC funding. The variation in funding in local currency was attributable to growth in the volumes of all deposit types in LC; time deposits represented 23% of growth.</w:t>
      </w:r>
    </w:p>
    <w:p>
      <w:pPr>
        <w:spacing w:after="0" w:line="186"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14.3% increase in other interest expenses due to the application of IFRS 16, which stipulates that expenses for leasing must be included in interest expenses.</w:t>
      </w:r>
    </w:p>
    <w:p>
      <w:pPr>
        <w:spacing w:after="0" w:line="170" w:lineRule="exact"/>
        <w:rPr>
          <w:rFonts w:ascii="Arial" w:cs="Arial" w:eastAsia="Arial" w:hAnsi="Arial"/>
          <w:sz w:val="18"/>
          <w:szCs w:val="18"/>
          <w:color w:val="auto"/>
        </w:rPr>
      </w:pPr>
    </w:p>
    <w:p>
      <w:pPr>
        <w:jc w:val="both"/>
        <w:ind w:left="980" w:hanging="648"/>
        <w:spacing w:after="0" w:line="264"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higher volume of Bonds and notes issued in LC following the liability management of bonds at BCP Stand-alone, which occurred despite a rate drop (going from 4.85% to 4.65%). The aforementioned was attenuated by a reduction in interest expenses in FC after international interest rates dropped; this helped mitigate the impact.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funding cost by subsidiary is shown in the figure below:</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Funding Cost by subsidiary– Credicorp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154940</wp:posOffset>
            </wp:positionV>
            <wp:extent cx="5017135" cy="21012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017135" cy="210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980" w:hanging="648"/>
        <w:spacing w:after="0" w:line="282"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funding cost at </w:t>
      </w:r>
      <w:r>
        <w:rPr>
          <w:rFonts w:ascii="Arial" w:cs="Arial" w:eastAsia="Arial" w:hAnsi="Arial"/>
          <w:sz w:val="18"/>
          <w:szCs w:val="18"/>
          <w:b w:val="1"/>
          <w:bCs w:val="1"/>
          <w:color w:val="auto"/>
        </w:rPr>
        <w:t>BCP Stand-alone</w:t>
      </w:r>
      <w:r>
        <w:rPr>
          <w:rFonts w:ascii="Arial" w:cs="Arial" w:eastAsia="Arial" w:hAnsi="Arial"/>
          <w:sz w:val="18"/>
          <w:szCs w:val="18"/>
          <w:color w:val="auto"/>
        </w:rPr>
        <w:t xml:space="preserve"> followed the same trend seen with Credicorp’s funding cost, where growth both QoQ and YoY was primarily associated with an increase in the volumes of time deposits and bonds and notes issued.</w:t>
      </w:r>
    </w:p>
    <w:p>
      <w:pPr>
        <w:spacing w:after="0" w:line="161" w:lineRule="exact"/>
        <w:rPr>
          <w:rFonts w:ascii="Arial" w:cs="Arial" w:eastAsia="Arial" w:hAnsi="Arial"/>
          <w:sz w:val="18"/>
          <w:szCs w:val="18"/>
          <w:color w:val="auto"/>
        </w:rPr>
      </w:pPr>
    </w:p>
    <w:p>
      <w:pPr>
        <w:jc w:val="both"/>
        <w:ind w:left="980" w:hanging="648"/>
        <w:spacing w:after="0" w:line="261"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funding cost at </w:t>
      </w:r>
      <w:r>
        <w:rPr>
          <w:rFonts w:ascii="Arial" w:cs="Arial" w:eastAsia="Arial" w:hAnsi="Arial"/>
          <w:sz w:val="18"/>
          <w:szCs w:val="18"/>
          <w:b w:val="1"/>
          <w:bCs w:val="1"/>
          <w:color w:val="auto"/>
        </w:rPr>
        <w:t>Mibanco</w:t>
      </w:r>
      <w:r>
        <w:rPr>
          <w:rFonts w:ascii="Arial" w:cs="Arial" w:eastAsia="Arial" w:hAnsi="Arial"/>
          <w:sz w:val="18"/>
          <w:szCs w:val="18"/>
          <w:color w:val="auto"/>
        </w:rPr>
        <w:t xml:space="preserve"> reported growth QoQ and YoY, which reflected efforts to roll out a strategy to capture more retail funding by offering competitive rates. In the QoQ analysis, the increase posted in the ratio, which occurred despite a drop in interest expenses (-5.8%), was attributable to a contraction in total funding (-13.9%). YoY, interest expenses increased 3.1% due to an increase in rates while total funding contracted -11.1% after a drop was registered in debt obligations.</w:t>
      </w:r>
    </w:p>
    <w:p>
      <w:pPr>
        <w:spacing w:after="0" w:line="180" w:lineRule="exact"/>
        <w:rPr>
          <w:rFonts w:ascii="Arial" w:cs="Arial" w:eastAsia="Arial" w:hAnsi="Arial"/>
          <w:sz w:val="18"/>
          <w:szCs w:val="18"/>
          <w:color w:val="auto"/>
        </w:rPr>
      </w:pPr>
    </w:p>
    <w:p>
      <w:pPr>
        <w:ind w:left="980" w:hanging="648"/>
        <w:spacing w:after="0" w:line="347" w:lineRule="auto"/>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The funding cost at </w:t>
      </w:r>
      <w:r>
        <w:rPr>
          <w:rFonts w:ascii="Arial" w:cs="Arial" w:eastAsia="Arial" w:hAnsi="Arial"/>
          <w:sz w:val="16"/>
          <w:szCs w:val="16"/>
          <w:b w:val="1"/>
          <w:bCs w:val="1"/>
          <w:color w:val="auto"/>
        </w:rPr>
        <w:t>BCP Bolivia</w:t>
      </w:r>
      <w:r>
        <w:rPr>
          <w:rFonts w:ascii="Arial" w:cs="Arial" w:eastAsia="Arial" w:hAnsi="Arial"/>
          <w:sz w:val="16"/>
          <w:szCs w:val="16"/>
          <w:color w:val="auto"/>
        </w:rPr>
        <w:t xml:space="preserve"> increased QoQ and YoY. This was primarily attributable to an increase in interest expenses (3.8% and 10.4% respectively) on deposits; the volume and mix effect (where time deposits posted the highest growth); and other interest expenses (leasing).</w:t>
      </w:r>
    </w:p>
    <w:p>
      <w:pPr>
        <w:spacing w:after="0" w:line="3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3. Portfolio quality and Provisions for loan losses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Credicorp’s Costo of Risk (CofR) increased 15 bps QoQ. This was primarily attributable to an increase in the provisions requirement in Retail Banking and, to a lesser extent, at Mibanco. In YoY and YTD terms, Credicorp’s CofR also increased due to an increase in the provisions requirement for Retail Banking and, to a lesser extent, for Wholesale Banking. The delinquency ratios posted a slight improvement QoQ and YoY, which was primarily attributable to growth in the Retail Banking portfolio at BCP Stand-alone.</w:t>
      </w:r>
    </w:p>
    <w:p>
      <w:pPr>
        <w:sectPr>
          <w:pgSz w:w="11900" w:h="16838" w:orient="portrait"/>
          <w:cols w:equalWidth="0" w:num="1">
            <w:col w:w="11420"/>
          </w:cols>
          <w:pgMar w:left="240" w:top="904" w:right="239" w:bottom="1440" w:gutter="0" w:footer="0" w:header="0"/>
        </w:sectPr>
      </w:pPr>
    </w:p>
    <w:p>
      <w:pPr>
        <w:spacing w:after="0" w:line="183" w:lineRule="exact"/>
        <w:rPr>
          <w:sz w:val="20"/>
          <w:szCs w:val="20"/>
          <w:color w:val="auto"/>
        </w:rPr>
      </w:pPr>
    </w:p>
    <w:p>
      <w:pPr>
        <w:ind w:left="1960"/>
        <w:spacing w:after="0"/>
        <w:rPr>
          <w:sz w:val="20"/>
          <w:szCs w:val="20"/>
          <w:color w:val="auto"/>
        </w:rPr>
      </w:pPr>
      <w:r>
        <w:rPr>
          <w:rFonts w:ascii="Arial" w:cs="Arial" w:eastAsia="Arial" w:hAnsi="Arial"/>
          <w:sz w:val="16"/>
          <w:szCs w:val="16"/>
          <w:b w:val="1"/>
          <w:bCs w:val="1"/>
          <w:color w:val="auto"/>
        </w:rPr>
        <w:t>Quarterly evolution of</w:t>
      </w:r>
    </w:p>
    <w:p>
      <w:pPr>
        <w:spacing w:after="0" w:line="50" w:lineRule="exact"/>
        <w:rPr>
          <w:sz w:val="20"/>
          <w:szCs w:val="20"/>
          <w:color w:val="auto"/>
        </w:rPr>
      </w:pPr>
    </w:p>
    <w:p>
      <w:pPr>
        <w:ind w:left="1980"/>
        <w:spacing w:after="0"/>
        <w:rPr>
          <w:sz w:val="20"/>
          <w:szCs w:val="20"/>
          <w:color w:val="auto"/>
        </w:rPr>
      </w:pPr>
      <w:r>
        <w:rPr>
          <w:rFonts w:ascii="Arial" w:cs="Arial" w:eastAsia="Arial" w:hAnsi="Arial"/>
          <w:sz w:val="16"/>
          <w:szCs w:val="16"/>
          <w:b w:val="1"/>
          <w:bCs w:val="1"/>
          <w:color w:val="auto"/>
        </w:rPr>
        <w:t>the Cost of Risk (bps)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157480</wp:posOffset>
            </wp:positionV>
            <wp:extent cx="3070225" cy="1560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070225" cy="1560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ind w:right="1840"/>
        <w:spacing w:after="0"/>
        <w:rPr>
          <w:sz w:val="20"/>
          <w:szCs w:val="20"/>
          <w:color w:val="auto"/>
        </w:rPr>
      </w:pPr>
      <w:r>
        <w:rPr>
          <w:rFonts w:ascii="Arial" w:cs="Arial" w:eastAsia="Arial" w:hAnsi="Arial"/>
          <w:sz w:val="16"/>
          <w:szCs w:val="16"/>
          <w:b w:val="1"/>
          <w:bCs w:val="1"/>
          <w:color w:val="auto"/>
        </w:rPr>
        <w:t>Year-to-date evolution of</w:t>
      </w:r>
    </w:p>
    <w:p>
      <w:pPr>
        <w:spacing w:after="0" w:line="50" w:lineRule="exact"/>
        <w:rPr>
          <w:sz w:val="20"/>
          <w:szCs w:val="20"/>
          <w:color w:val="auto"/>
        </w:rPr>
      </w:pPr>
    </w:p>
    <w:p>
      <w:pPr>
        <w:jc w:val="center"/>
        <w:ind w:right="1840"/>
        <w:spacing w:after="0"/>
        <w:rPr>
          <w:sz w:val="20"/>
          <w:szCs w:val="20"/>
          <w:color w:val="auto"/>
        </w:rPr>
      </w:pPr>
      <w:r>
        <w:rPr>
          <w:rFonts w:ascii="Arial" w:cs="Arial" w:eastAsia="Arial" w:hAnsi="Arial"/>
          <w:sz w:val="18"/>
          <w:szCs w:val="18"/>
          <w:b w:val="1"/>
          <w:bCs w:val="1"/>
          <w:color w:val="auto"/>
        </w:rPr>
        <w:t>the Cost of Risk (bps)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-986155</wp:posOffset>
            </wp:positionH>
            <wp:positionV relativeFrom="paragraph">
              <wp:posOffset>142875</wp:posOffset>
            </wp:positionV>
            <wp:extent cx="3181350" cy="15779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81350" cy="15779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60" w:space="720"/>
            <w:col w:w="3740"/>
          </w:cols>
          <w:pgMar w:left="240" w:top="90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60" w:type="dxa"/>
            <w:vAlign w:val="bottom"/>
            <w:gridSpan w:val="8"/>
          </w:tcPr>
          <w:p>
            <w:pPr>
              <w:spacing w:after="0"/>
              <w:rPr>
                <w:sz w:val="20"/>
                <w:szCs w:val="20"/>
                <w:color w:val="auto"/>
              </w:rPr>
            </w:pPr>
            <w:r>
              <w:rPr>
                <w:rFonts w:ascii="Arial" w:cs="Arial" w:eastAsia="Arial" w:hAnsi="Arial"/>
                <w:sz w:val="18"/>
                <w:szCs w:val="18"/>
                <w:color w:val="auto"/>
                <w:w w:val="97"/>
              </w:rPr>
              <w:t>(1) Includes BCP Bolivia, ASB and eliminations for consolidation purposes</w:t>
            </w: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3.1. Provisions for loan losses</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14"/>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w w:val="95"/>
              </w:rPr>
              <w:t>Provision for credit losses on loan</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portfolio, net of recoveries</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Quarter</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rPr>
              <w:t>% change</w:t>
            </w:r>
          </w:p>
        </w:tc>
        <w:tc>
          <w:tcPr>
            <w:tcW w:w="1220" w:type="dxa"/>
            <w:vAlign w:val="bottom"/>
            <w:gridSpan w:val="3"/>
          </w:tcPr>
          <w:p>
            <w:pPr>
              <w:ind w:left="820"/>
              <w:spacing w:after="0"/>
              <w:rPr>
                <w:sz w:val="20"/>
                <w:szCs w:val="20"/>
                <w:color w:val="auto"/>
              </w:rPr>
            </w:pPr>
            <w:r>
              <w:rPr>
                <w:rFonts w:ascii="Arial" w:cs="Arial" w:eastAsia="Arial" w:hAnsi="Arial"/>
                <w:sz w:val="18"/>
                <w:szCs w:val="18"/>
                <w:b w:val="1"/>
                <w:bCs w:val="1"/>
                <w:color w:val="auto"/>
              </w:rPr>
              <w:t>YTD</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S/ 000</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3Q18</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2Q19</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3Q19</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QoQ</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YoY</w:t>
            </w:r>
          </w:p>
        </w:tc>
        <w:tc>
          <w:tcPr>
            <w:tcW w:w="1220" w:type="dxa"/>
            <w:vAlign w:val="bottom"/>
            <w:gridSpan w:val="3"/>
          </w:tcPr>
          <w:p>
            <w:pPr>
              <w:ind w:left="200"/>
              <w:spacing w:after="0"/>
              <w:rPr>
                <w:sz w:val="20"/>
                <w:szCs w:val="20"/>
                <w:color w:val="auto"/>
              </w:rPr>
            </w:pPr>
            <w:r>
              <w:rPr>
                <w:rFonts w:ascii="Arial" w:cs="Arial" w:eastAsia="Arial" w:hAnsi="Arial"/>
                <w:sz w:val="18"/>
                <w:szCs w:val="18"/>
                <w:b w:val="1"/>
                <w:bCs w:val="1"/>
                <w:color w:val="auto"/>
              </w:rPr>
              <w:t>Sep 18</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9"/>
              </w:rPr>
              <w:t>Sep 19</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6"/>
              </w:rPr>
              <w:t>Sep 19 / Sep 18</w:t>
            </w:r>
          </w:p>
        </w:tc>
      </w:tr>
      <w:tr>
        <w:trPr>
          <w:trHeight w:val="195"/>
        </w:trPr>
        <w:tc>
          <w:tcPr>
            <w:tcW w:w="26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3"/>
              </w:rPr>
              <w:t>Gross provision for credit losses on</w:t>
            </w:r>
          </w:p>
        </w:tc>
        <w:tc>
          <w:tcPr>
            <w:tcW w:w="1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r>
      <w:tr>
        <w:trPr>
          <w:trHeight w:val="230"/>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portfolio</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(511,710)</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(510,045)</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(568,034)</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(1,335,714)</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(1,531,364)</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Recoveries of written-off loans</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72,152</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61,751</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65,262</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-9.5%</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211,960</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197,087</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r>
      <w:tr>
        <w:trPr>
          <w:trHeight w:val="198"/>
        </w:trPr>
        <w:tc>
          <w:tcPr>
            <w:tcW w:w="284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5"/>
              </w:rPr>
              <w:t>Provision for credit losses on loan</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34"/>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portfolio, net of recoveries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(439,558)</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(448,294)</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(502,772)</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12.2%</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14.4%</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(1,123,754)</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9"/>
              </w:rPr>
              <w:t>(1,334,277)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18.7%</w:t>
            </w: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Provisions for loan losses net recoveries registered increases of 12.2%, 14.4% and 18.7% QoQ, YoY and in YTD terms respectively. The YoY and YTD increase was due primarily to:</w:t>
      </w:r>
    </w:p>
    <w:p>
      <w:pPr>
        <w:spacing w:after="0" w:line="170" w:lineRule="exact"/>
        <w:rPr>
          <w:sz w:val="20"/>
          <w:szCs w:val="20"/>
          <w:color w:val="auto"/>
        </w:rPr>
      </w:pPr>
    </w:p>
    <w:p>
      <w:pPr>
        <w:jc w:val="both"/>
        <w:ind w:left="980" w:hanging="648"/>
        <w:spacing w:after="0" w:line="279" w:lineRule="auto"/>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Retail Banking: The increase was mainly generated by the SME-Pyme segment and to a lesser extent by the Consumer segment. The SME-Pyme segment registered growth mainly due to an increase in the number of days overdue reported for loans that were already considered non-performing. In the consumer segment, the increase was associated with new loans for digital consumption, which are directed at clients with higher risk. It is important to note that while this product implies higher risk, it also generates more income.</w:t>
      </w:r>
    </w:p>
    <w:p>
      <w:pPr>
        <w:spacing w:after="0" w:line="171" w:lineRule="exact"/>
        <w:rPr>
          <w:rFonts w:ascii="Arial" w:cs="Arial" w:eastAsia="Arial" w:hAnsi="Arial"/>
          <w:sz w:val="17"/>
          <w:szCs w:val="17"/>
          <w:color w:val="auto"/>
        </w:rPr>
      </w:pPr>
    </w:p>
    <w:p>
      <w:pPr>
        <w:jc w:val="both"/>
        <w:ind w:left="980" w:hanging="648"/>
        <w:spacing w:after="0" w:line="264"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Wholesale Banking: A specific client (in the entertainment segment) experienced deterioration in its debt service capacity, which led provisions to register higher-than-normal levels. It is important to note that this loan has been adequately provisioned and as such, will require no new provisions in coming quarters.</w:t>
      </w:r>
    </w:p>
    <w:p>
      <w:pPr>
        <w:spacing w:after="0" w:line="181"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Macroeconomic estimates: In keeping with the anticipated loss model, which includes macroeconomic estimates, the change in forecasts last quarter generated an increase in provisions in the model this quarter.</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aforementioned was offset by an improvement in the Mortgage portfolio, which was mainly attributable to an improvement in the risk profile of traditional mortgage loans and MiVivienda.</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QoQ analysis reveals an increase in provisions at both Retail Banking and Mibanco. The increase in the latter was attributable to an economic downturn and to an increase in the disbursement level this quarter. It is important to note that we have made some adjustments to origination guidelines and collection policies to impede further deterioration.</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Cost of risk</w:t>
            </w: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2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Quarter</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80" w:type="dxa"/>
            <w:vAlign w:val="bottom"/>
            <w:gridSpan w:val="4"/>
          </w:tcPr>
          <w:p>
            <w:pPr>
              <w:ind w:left="280"/>
              <w:spacing w:after="0"/>
              <w:rPr>
                <w:sz w:val="20"/>
                <w:szCs w:val="20"/>
                <w:color w:val="auto"/>
              </w:rPr>
            </w:pPr>
            <w:r>
              <w:rPr>
                <w:rFonts w:ascii="Arial" w:cs="Arial" w:eastAsia="Arial" w:hAnsi="Arial"/>
                <w:sz w:val="18"/>
                <w:szCs w:val="18"/>
                <w:b w:val="1"/>
                <w:bCs w:val="1"/>
                <w:color w:val="auto"/>
              </w:rPr>
              <w:t>% change</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YTD</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gridSpan w:val="2"/>
          </w:tcPr>
          <w:p>
            <w:pPr>
              <w:ind w:left="14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Cost of risk and Provisions</w:t>
            </w:r>
          </w:p>
        </w:tc>
        <w:tc>
          <w:tcPr>
            <w:tcW w:w="32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3Q18</w:t>
            </w:r>
          </w:p>
        </w:tc>
        <w:tc>
          <w:tcPr>
            <w:tcW w:w="2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2Q19</w:t>
            </w:r>
          </w:p>
        </w:tc>
        <w:tc>
          <w:tcPr>
            <w:tcW w:w="36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3Q19</w:t>
            </w:r>
          </w:p>
        </w:tc>
        <w:tc>
          <w:tcPr>
            <w:tcW w:w="38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QoQ</w:t>
            </w:r>
          </w:p>
        </w:tc>
        <w:tc>
          <w:tcPr>
            <w:tcW w:w="32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YoY</w:t>
            </w:r>
          </w:p>
        </w:tc>
        <w:tc>
          <w:tcPr>
            <w:tcW w:w="32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6"/>
              </w:rPr>
              <w:t>Sep 18</w:t>
            </w:r>
          </w:p>
        </w:tc>
        <w:tc>
          <w:tcPr>
            <w:tcW w:w="38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6"/>
              </w:rPr>
              <w:t>Sep 19</w:t>
            </w:r>
          </w:p>
        </w:tc>
        <w:tc>
          <w:tcPr>
            <w:tcW w:w="38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Sep 19 / Sep 18</w:t>
            </w:r>
          </w:p>
        </w:tc>
        <w:tc>
          <w:tcPr>
            <w:tcW w:w="100" w:type="dxa"/>
            <w:vAlign w:val="bottom"/>
            <w:tcBorders>
              <w:bottom w:val="single" w:sz="8" w:color="CCEEFF"/>
            </w:tcBorders>
          </w:tcPr>
          <w:p>
            <w:pPr>
              <w:spacing w:after="0"/>
              <w:rPr>
                <w:sz w:val="20"/>
                <w:szCs w:val="20"/>
                <w:color w:val="auto"/>
              </w:rPr>
            </w:pPr>
          </w:p>
        </w:tc>
      </w:tr>
      <w:tr>
        <w:trPr>
          <w:trHeight w:val="250"/>
        </w:trPr>
        <w:tc>
          <w:tcPr>
            <w:tcW w:w="2920" w:type="dxa"/>
            <w:vAlign w:val="bottom"/>
            <w:shd w:val="clear" w:color="auto" w:fill="CCEEFF"/>
          </w:tcPr>
          <w:p>
            <w:pPr>
              <w:spacing w:after="0" w:line="251" w:lineRule="exact"/>
              <w:rPr>
                <w:sz w:val="20"/>
                <w:szCs w:val="20"/>
                <w:color w:val="auto"/>
              </w:rPr>
            </w:pPr>
            <w:r>
              <w:rPr>
                <w:rFonts w:ascii="Arial" w:cs="Arial" w:eastAsia="Arial" w:hAnsi="Arial"/>
                <w:sz w:val="18"/>
                <w:szCs w:val="18"/>
                <w:color w:val="auto"/>
              </w:rPr>
              <w:t xml:space="preserve">Cost of risk </w:t>
            </w:r>
            <w:r>
              <w:rPr>
                <w:rFonts w:ascii="Arial" w:cs="Arial" w:eastAsia="Arial" w:hAnsi="Arial"/>
                <w:sz w:val="29"/>
                <w:szCs w:val="29"/>
                <w:color w:val="auto"/>
                <w:vertAlign w:val="superscript"/>
              </w:rPr>
              <w:t>(1)</w:t>
            </w:r>
          </w:p>
        </w:tc>
        <w:tc>
          <w:tcPr>
            <w:tcW w:w="3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1.64%</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1.79%</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15 bps</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 bps</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1.59%</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 bps</w:t>
            </w:r>
          </w:p>
        </w:tc>
      </w:tr>
      <w:tr>
        <w:trPr>
          <w:trHeight w:val="202"/>
        </w:trPr>
        <w:tc>
          <w:tcPr>
            <w:tcW w:w="3240" w:type="dxa"/>
            <w:vAlign w:val="bottom"/>
            <w:gridSpan w:val="2"/>
          </w:tcPr>
          <w:p>
            <w:pPr>
              <w:spacing w:after="0" w:line="201" w:lineRule="exact"/>
              <w:rPr>
                <w:sz w:val="20"/>
                <w:szCs w:val="20"/>
                <w:color w:val="auto"/>
              </w:rPr>
            </w:pPr>
            <w:r>
              <w:rPr>
                <w:rFonts w:ascii="Arial" w:cs="Arial" w:eastAsia="Arial" w:hAnsi="Arial"/>
                <w:sz w:val="18"/>
                <w:szCs w:val="18"/>
                <w:color w:val="auto"/>
              </w:rPr>
              <w:t>Provision for credit losses on loan</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portfolio, net of recoveries / Net interest</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240" w:type="dxa"/>
            <w:vAlign w:val="bottom"/>
            <w:gridSpan w:val="2"/>
          </w:tcPr>
          <w:p>
            <w:pPr>
              <w:spacing w:after="0"/>
              <w:rPr>
                <w:sz w:val="20"/>
                <w:szCs w:val="20"/>
                <w:color w:val="auto"/>
              </w:rPr>
            </w:pPr>
            <w:r>
              <w:rPr>
                <w:rFonts w:ascii="Arial" w:cs="Arial" w:eastAsia="Arial" w:hAnsi="Arial"/>
                <w:sz w:val="18"/>
                <w:szCs w:val="18"/>
                <w:color w:val="auto"/>
              </w:rPr>
              <w:t>income</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20.5%</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19.9%</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22.1%</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230 bps</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150 bps</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18.0%</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19.8%</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100 bps</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Annualized Provision for credit losses on loan portfolio, net of recoveries / Total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this context, the CofR at Credicorp deteriorated QoQ, YoY and YTD terms given that growth in provisions outpaced that of loans.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gridSpan w:val="3"/>
          </w:tcPr>
          <w:p>
            <w:pPr>
              <w:spacing w:after="0"/>
              <w:rPr>
                <w:sz w:val="20"/>
                <w:szCs w:val="20"/>
                <w:color w:val="auto"/>
              </w:rPr>
            </w:pPr>
            <w:r>
              <w:rPr>
                <w:rFonts w:ascii="Arial" w:cs="Arial" w:eastAsia="Arial" w:hAnsi="Arial"/>
                <w:sz w:val="18"/>
                <w:szCs w:val="18"/>
                <w:b w:val="1"/>
                <w:bCs w:val="1"/>
                <w:color w:val="auto"/>
              </w:rPr>
              <w:t>3.2. Portfolio Quality: Delinquency ratios</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3800" w:type="dxa"/>
            <w:vAlign w:val="bottom"/>
            <w:gridSpan w:val="3"/>
          </w:tcPr>
          <w:p>
            <w:pPr>
              <w:spacing w:after="0"/>
              <w:rPr>
                <w:sz w:val="20"/>
                <w:szCs w:val="20"/>
                <w:color w:val="auto"/>
              </w:rPr>
            </w:pPr>
            <w:r>
              <w:rPr>
                <w:rFonts w:ascii="Arial" w:cs="Arial" w:eastAsia="Arial" w:hAnsi="Arial"/>
                <w:sz w:val="18"/>
                <w:szCs w:val="18"/>
                <w:b w:val="1"/>
                <w:bCs w:val="1"/>
                <w:color w:val="auto"/>
              </w:rPr>
              <w:t>Portfolio quality and Delinquency ratios</w:t>
            </w: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88"/>
              </w:rPr>
              <w:t>As of</w:t>
            </w: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4"/>
          </w:tcPr>
          <w:p>
            <w:pPr>
              <w:ind w:left="820"/>
              <w:spacing w:after="0"/>
              <w:rPr>
                <w:sz w:val="20"/>
                <w:szCs w:val="20"/>
                <w:color w:val="auto"/>
              </w:rPr>
            </w:pPr>
            <w:r>
              <w:rPr>
                <w:rFonts w:ascii="Arial" w:cs="Arial" w:eastAsia="Arial" w:hAnsi="Arial"/>
                <w:sz w:val="18"/>
                <w:szCs w:val="18"/>
                <w:b w:val="1"/>
                <w:bCs w:val="1"/>
                <w:color w:val="auto"/>
                <w:w w:val="99"/>
              </w:rPr>
              <w:t>% change</w:t>
            </w: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0" w:type="dxa"/>
            <w:vAlign w:val="bottom"/>
            <w:gridSpan w:val="3"/>
          </w:tcPr>
          <w:p>
            <w:pPr>
              <w:spacing w:after="0"/>
              <w:rPr>
                <w:sz w:val="20"/>
                <w:szCs w:val="20"/>
                <w:color w:val="auto"/>
              </w:rPr>
            </w:pPr>
            <w:r>
              <w:rPr>
                <w:rFonts w:ascii="Arial" w:cs="Arial" w:eastAsia="Arial" w:hAnsi="Arial"/>
                <w:sz w:val="18"/>
                <w:szCs w:val="18"/>
                <w:b w:val="1"/>
                <w:bCs w:val="1"/>
                <w:color w:val="auto"/>
              </w:rPr>
              <w:t>S/ 000</w:t>
            </w:r>
          </w:p>
        </w:tc>
        <w:tc>
          <w:tcPr>
            <w:tcW w:w="1480" w:type="dxa"/>
            <w:vAlign w:val="bottom"/>
            <w:gridSpan w:val="3"/>
          </w:tcPr>
          <w:p>
            <w:pPr>
              <w:ind w:left="240"/>
              <w:spacing w:after="0"/>
              <w:rPr>
                <w:sz w:val="20"/>
                <w:szCs w:val="20"/>
                <w:color w:val="auto"/>
              </w:rPr>
            </w:pPr>
            <w:r>
              <w:rPr>
                <w:rFonts w:ascii="Arial" w:cs="Arial" w:eastAsia="Arial" w:hAnsi="Arial"/>
                <w:sz w:val="18"/>
                <w:szCs w:val="18"/>
                <w:b w:val="1"/>
                <w:bCs w:val="1"/>
                <w:color w:val="auto"/>
              </w:rPr>
              <w:t>Sep 18</w:t>
            </w:r>
          </w:p>
        </w:tc>
        <w:tc>
          <w:tcPr>
            <w:tcW w:w="150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1"/>
              </w:rPr>
              <w:t>Jun 19</w:t>
            </w:r>
          </w:p>
        </w:tc>
        <w:tc>
          <w:tcPr>
            <w:tcW w:w="1480" w:type="dxa"/>
            <w:vAlign w:val="bottom"/>
            <w:gridSpan w:val="3"/>
          </w:tcPr>
          <w:p>
            <w:pPr>
              <w:ind w:left="220"/>
              <w:spacing w:after="0"/>
              <w:rPr>
                <w:sz w:val="20"/>
                <w:szCs w:val="20"/>
                <w:color w:val="auto"/>
              </w:rPr>
            </w:pPr>
            <w:r>
              <w:rPr>
                <w:rFonts w:ascii="Arial" w:cs="Arial" w:eastAsia="Arial" w:hAnsi="Arial"/>
                <w:sz w:val="18"/>
                <w:szCs w:val="18"/>
                <w:b w:val="1"/>
                <w:bCs w:val="1"/>
                <w:color w:val="auto"/>
              </w:rPr>
              <w:t>Sep 19</w:t>
            </w:r>
          </w:p>
        </w:tc>
        <w:tc>
          <w:tcPr>
            <w:tcW w:w="1680" w:type="dxa"/>
            <w:vAlign w:val="bottom"/>
            <w:gridSpan w:val="4"/>
          </w:tcPr>
          <w:p>
            <w:pPr>
              <w:ind w:left="280"/>
              <w:spacing w:after="0"/>
              <w:rPr>
                <w:sz w:val="20"/>
                <w:szCs w:val="20"/>
                <w:color w:val="auto"/>
              </w:rPr>
            </w:pPr>
            <w:r>
              <w:rPr>
                <w:rFonts w:ascii="Arial" w:cs="Arial" w:eastAsia="Arial" w:hAnsi="Arial"/>
                <w:sz w:val="18"/>
                <w:szCs w:val="18"/>
                <w:b w:val="1"/>
                <w:bCs w:val="1"/>
                <w:color w:val="auto"/>
              </w:rPr>
              <w:t>QoQ</w:t>
            </w:r>
          </w:p>
        </w:tc>
        <w:tc>
          <w:tcPr>
            <w:tcW w:w="102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23"/>
        </w:trPr>
        <w:tc>
          <w:tcPr>
            <w:tcW w:w="3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loans (Quarter-end balance)</w:t>
            </w:r>
          </w:p>
        </w:tc>
        <w:tc>
          <w:tcPr>
            <w:tcW w:w="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105,028,343</w:t>
            </w:r>
          </w:p>
        </w:tc>
        <w:tc>
          <w:tcPr>
            <w:tcW w:w="3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109,381,123</w:t>
            </w:r>
          </w:p>
        </w:tc>
        <w:tc>
          <w:tcPr>
            <w:tcW w:w="3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112,209,990</w:t>
            </w:r>
          </w:p>
        </w:tc>
        <w:tc>
          <w:tcPr>
            <w:tcW w:w="3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38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Allowance for loan losses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4,920,319</w:t>
            </w: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4,878,150</w:t>
            </w: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4,977,809</w:t>
            </w: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Write-offs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366,709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407,348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456,932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3800" w:type="dxa"/>
            <w:vAlign w:val="bottom"/>
            <w:gridSpan w:val="3"/>
          </w:tcPr>
          <w:p>
            <w:pPr>
              <w:spacing w:after="0" w:line="236" w:lineRule="exact"/>
              <w:rPr>
                <w:sz w:val="20"/>
                <w:szCs w:val="20"/>
                <w:color w:val="auto"/>
              </w:rPr>
            </w:pPr>
            <w:r>
              <w:rPr>
                <w:rFonts w:ascii="Arial" w:cs="Arial" w:eastAsia="Arial" w:hAnsi="Arial"/>
                <w:sz w:val="17"/>
                <w:szCs w:val="17"/>
                <w:color w:val="auto"/>
              </w:rPr>
              <w:t xml:space="preserve">Internal overdue loans (IOLs) </w:t>
            </w:r>
            <w:r>
              <w:rPr>
                <w:rFonts w:ascii="Arial" w:cs="Arial" w:eastAsia="Arial" w:hAnsi="Arial"/>
                <w:sz w:val="27"/>
                <w:szCs w:val="27"/>
                <w:color w:val="auto"/>
                <w:vertAlign w:val="superscript"/>
              </w:rPr>
              <w:t>(1)</w:t>
            </w:r>
          </w:p>
        </w:tc>
        <w:tc>
          <w:tcPr>
            <w:tcW w:w="1080" w:type="dxa"/>
            <w:vAlign w:val="bottom"/>
          </w:tcPr>
          <w:p>
            <w:pPr>
              <w:jc w:val="right"/>
              <w:spacing w:after="0"/>
              <w:rPr>
                <w:sz w:val="20"/>
                <w:szCs w:val="20"/>
                <w:color w:val="auto"/>
              </w:rPr>
            </w:pPr>
            <w:r>
              <w:rPr>
                <w:rFonts w:ascii="Arial" w:cs="Arial" w:eastAsia="Arial" w:hAnsi="Arial"/>
                <w:sz w:val="18"/>
                <w:szCs w:val="18"/>
                <w:color w:val="auto"/>
              </w:rPr>
              <w:t>3,188,393</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3,285,279</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3,346,389</w:t>
            </w:r>
          </w:p>
        </w:tc>
        <w:tc>
          <w:tcPr>
            <w:tcW w:w="100" w:type="dxa"/>
            <w:vAlign w:val="bottom"/>
          </w:tcPr>
          <w:p>
            <w:pPr>
              <w:spacing w:after="0"/>
              <w:rPr>
                <w:sz w:val="20"/>
                <w:szCs w:val="20"/>
                <w:color w:val="auto"/>
              </w:rPr>
            </w:pP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57"/>
        </w:trPr>
        <w:tc>
          <w:tcPr>
            <w:tcW w:w="380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 xml:space="preserve">Internal overdue loans over 90-days </w:t>
            </w:r>
            <w:r>
              <w:rPr>
                <w:rFonts w:ascii="Arial" w:cs="Arial" w:eastAsia="Arial" w:hAnsi="Arial"/>
                <w:sz w:val="29"/>
                <w:szCs w:val="29"/>
                <w:color w:val="auto"/>
                <w:vertAlign w:val="superscript"/>
              </w:rPr>
              <w:t>(1)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2,399,945</w:t>
            </w: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2,423,771</w:t>
            </w: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2,539,751</w:t>
            </w:r>
          </w:p>
        </w:tc>
        <w:tc>
          <w:tcPr>
            <w:tcW w:w="1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3800" w:type="dxa"/>
            <w:vAlign w:val="bottom"/>
            <w:gridSpan w:val="3"/>
          </w:tcPr>
          <w:p>
            <w:pPr>
              <w:spacing w:after="0"/>
              <w:rPr>
                <w:sz w:val="20"/>
                <w:szCs w:val="20"/>
                <w:color w:val="auto"/>
              </w:rPr>
            </w:pPr>
            <w:r>
              <w:rPr>
                <w:rFonts w:ascii="Arial" w:cs="Arial" w:eastAsia="Arial" w:hAnsi="Arial"/>
                <w:sz w:val="18"/>
                <w:szCs w:val="18"/>
                <w:color w:val="auto"/>
              </w:rPr>
              <w:t>Refinanced loans</w:t>
            </w:r>
          </w:p>
        </w:tc>
        <w:tc>
          <w:tcPr>
            <w:tcW w:w="1080" w:type="dxa"/>
            <w:vAlign w:val="bottom"/>
          </w:tcPr>
          <w:p>
            <w:pPr>
              <w:jc w:val="right"/>
              <w:spacing w:after="0"/>
              <w:rPr>
                <w:sz w:val="20"/>
                <w:szCs w:val="20"/>
                <w:color w:val="auto"/>
              </w:rPr>
            </w:pPr>
            <w:r>
              <w:rPr>
                <w:rFonts w:ascii="Arial" w:cs="Arial" w:eastAsia="Arial" w:hAnsi="Arial"/>
                <w:sz w:val="18"/>
                <w:szCs w:val="18"/>
                <w:color w:val="auto"/>
              </w:rPr>
              <w:t>1,172,338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1,212,669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1,225,691</w:t>
            </w:r>
          </w:p>
        </w:tc>
        <w:tc>
          <w:tcPr>
            <w:tcW w:w="100" w:type="dxa"/>
            <w:vAlign w:val="bottom"/>
          </w:tcPr>
          <w:p>
            <w:pPr>
              <w:spacing w:after="0"/>
              <w:rPr>
                <w:sz w:val="18"/>
                <w:szCs w:val="18"/>
                <w:color w:val="auto"/>
              </w:rPr>
            </w:pP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0"/>
        </w:trPr>
        <w:tc>
          <w:tcPr>
            <w:tcW w:w="3800" w:type="dxa"/>
            <w:vAlign w:val="bottom"/>
            <w:gridSpan w:val="3"/>
            <w:shd w:val="clear" w:color="auto" w:fill="CCEEFF"/>
          </w:tcPr>
          <w:p>
            <w:pPr>
              <w:spacing w:after="0" w:line="269" w:lineRule="exact"/>
              <w:rPr>
                <w:sz w:val="20"/>
                <w:szCs w:val="20"/>
                <w:color w:val="auto"/>
              </w:rPr>
            </w:pPr>
            <w:r>
              <w:rPr>
                <w:rFonts w:ascii="Arial" w:cs="Arial" w:eastAsia="Arial" w:hAnsi="Arial"/>
                <w:sz w:val="18"/>
                <w:szCs w:val="18"/>
                <w:color w:val="auto"/>
              </w:rPr>
              <w:t xml:space="preserve">Non-performing loans (NPLs) </w:t>
            </w:r>
            <w:r>
              <w:rPr>
                <w:rFonts w:ascii="Arial" w:cs="Arial" w:eastAsia="Arial" w:hAnsi="Arial"/>
                <w:sz w:val="30"/>
                <w:szCs w:val="30"/>
                <w:color w:val="auto"/>
                <w:vertAlign w:val="superscript"/>
              </w:rPr>
              <w:t>(2)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4,360,731</w:t>
            </w:r>
          </w:p>
        </w:tc>
        <w:tc>
          <w:tcPr>
            <w:tcW w:w="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4,497,948</w:t>
            </w:r>
          </w:p>
        </w:tc>
        <w:tc>
          <w:tcPr>
            <w:tcW w:w="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4,572,080</w:t>
            </w:r>
          </w:p>
        </w:tc>
        <w:tc>
          <w:tcPr>
            <w:tcW w:w="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38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IOL ratio</w:t>
            </w: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gridSpan w:val="3"/>
            <w:vMerge w:val="continue"/>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3.04%</w:t>
            </w:r>
          </w:p>
        </w:tc>
        <w:tc>
          <w:tcPr>
            <w:tcW w:w="1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3.00%</w:t>
            </w: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2.98%</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 bps</w:t>
            </w:r>
          </w:p>
        </w:tc>
        <w:tc>
          <w:tcPr>
            <w:tcW w:w="30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 bps</w:t>
            </w:r>
          </w:p>
        </w:tc>
        <w:tc>
          <w:tcPr>
            <w:tcW w:w="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80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IOL over 90-days ratio </w:t>
            </w:r>
            <w:r>
              <w:rPr>
                <w:rFonts w:ascii="Arial" w:cs="Arial" w:eastAsia="Arial" w:hAnsi="Arial"/>
                <w:sz w:val="29"/>
                <w:szCs w:val="29"/>
                <w:b w:val="1"/>
                <w:bCs w:val="1"/>
                <w:color w:val="auto"/>
                <w:vertAlign w:val="superscript"/>
              </w:rPr>
              <w:t>(3)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2.29%</w:t>
            </w:r>
          </w:p>
        </w:tc>
        <w:tc>
          <w:tcPr>
            <w:tcW w:w="1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2.22%</w:t>
            </w:r>
          </w:p>
        </w:tc>
        <w:tc>
          <w:tcPr>
            <w:tcW w:w="1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2.26%</w:t>
            </w:r>
          </w:p>
        </w:tc>
        <w:tc>
          <w:tcPr>
            <w:tcW w:w="100" w:type="dxa"/>
            <w:vAlign w:val="bottom"/>
            <w:shd w:val="clear" w:color="auto" w:fill="CCEEFF"/>
          </w:tcPr>
          <w:p>
            <w:pPr>
              <w:spacing w:after="0"/>
              <w:rPr>
                <w:sz w:val="22"/>
                <w:szCs w:val="22"/>
                <w:color w:val="auto"/>
              </w:rPr>
            </w:pPr>
          </w:p>
        </w:tc>
        <w:tc>
          <w:tcPr>
            <w:tcW w:w="168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4 bps</w:t>
            </w:r>
          </w:p>
        </w:tc>
        <w:tc>
          <w:tcPr>
            <w:tcW w:w="10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 bps</w:t>
            </w:r>
          </w:p>
        </w:tc>
        <w:tc>
          <w:tcPr>
            <w:tcW w:w="0" w:type="dxa"/>
            <w:vAlign w:val="bottom"/>
          </w:tcPr>
          <w:p>
            <w:pPr>
              <w:spacing w:after="0"/>
              <w:rPr>
                <w:sz w:val="1"/>
                <w:szCs w:val="1"/>
                <w:color w:val="auto"/>
              </w:rPr>
            </w:pPr>
          </w:p>
        </w:tc>
      </w:tr>
      <w:tr>
        <w:trPr>
          <w:trHeight w:val="216"/>
        </w:trPr>
        <w:tc>
          <w:tcPr>
            <w:tcW w:w="3800" w:type="dxa"/>
            <w:vAlign w:val="bottom"/>
            <w:gridSpan w:val="3"/>
          </w:tcPr>
          <w:p>
            <w:pPr>
              <w:spacing w:after="0"/>
              <w:rPr>
                <w:sz w:val="20"/>
                <w:szCs w:val="20"/>
                <w:color w:val="auto"/>
              </w:rPr>
            </w:pPr>
            <w:r>
              <w:rPr>
                <w:rFonts w:ascii="Arial" w:cs="Arial" w:eastAsia="Arial" w:hAnsi="Arial"/>
                <w:sz w:val="18"/>
                <w:szCs w:val="18"/>
                <w:b w:val="1"/>
                <w:bCs w:val="1"/>
                <w:color w:val="auto"/>
              </w:rPr>
              <w:t>NPL ratio</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4.15%</w:t>
            </w:r>
          </w:p>
        </w:tc>
        <w:tc>
          <w:tcPr>
            <w:tcW w:w="1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4.11%</w:t>
            </w: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4.07%</w:t>
            </w:r>
          </w:p>
        </w:tc>
        <w:tc>
          <w:tcPr>
            <w:tcW w:w="100" w:type="dxa"/>
            <w:vAlign w:val="bottom"/>
          </w:tcPr>
          <w:p>
            <w:pPr>
              <w:spacing w:after="0"/>
              <w:rPr>
                <w:sz w:val="18"/>
                <w:szCs w:val="18"/>
                <w:color w:val="auto"/>
              </w:rPr>
            </w:pPr>
          </w:p>
        </w:tc>
        <w:tc>
          <w:tcPr>
            <w:tcW w:w="1680" w:type="dxa"/>
            <w:vAlign w:val="bottom"/>
            <w:gridSpan w:val="4"/>
          </w:tcPr>
          <w:p>
            <w:pPr>
              <w:jc w:val="right"/>
              <w:ind w:right="620"/>
              <w:spacing w:after="0"/>
              <w:rPr>
                <w:sz w:val="20"/>
                <w:szCs w:val="20"/>
                <w:color w:val="auto"/>
              </w:rPr>
            </w:pPr>
            <w:r>
              <w:rPr>
                <w:rFonts w:ascii="Arial" w:cs="Arial" w:eastAsia="Arial" w:hAnsi="Arial"/>
                <w:sz w:val="18"/>
                <w:szCs w:val="18"/>
                <w:color w:val="auto"/>
              </w:rPr>
              <w:t>-4 bps</w:t>
            </w:r>
          </w:p>
        </w:tc>
        <w:tc>
          <w:tcPr>
            <w:tcW w:w="1020" w:type="dxa"/>
            <w:vAlign w:val="bottom"/>
            <w:gridSpan w:val="2"/>
          </w:tcPr>
          <w:p>
            <w:pPr>
              <w:jc w:val="right"/>
              <w:ind w:right="90"/>
              <w:spacing w:after="0"/>
              <w:rPr>
                <w:sz w:val="20"/>
                <w:szCs w:val="20"/>
                <w:color w:val="auto"/>
              </w:rPr>
            </w:pPr>
            <w:r>
              <w:rPr>
                <w:rFonts w:ascii="Arial" w:cs="Arial" w:eastAsia="Arial" w:hAnsi="Arial"/>
                <w:sz w:val="18"/>
                <w:szCs w:val="18"/>
                <w:color w:val="auto"/>
              </w:rPr>
              <w:t>-8 bps</w:t>
            </w:r>
          </w:p>
        </w:tc>
        <w:tc>
          <w:tcPr>
            <w:tcW w:w="0" w:type="dxa"/>
            <w:vAlign w:val="bottom"/>
          </w:tcPr>
          <w:p>
            <w:pPr>
              <w:spacing w:after="0"/>
              <w:rPr>
                <w:sz w:val="1"/>
                <w:szCs w:val="1"/>
                <w:color w:val="auto"/>
              </w:rPr>
            </w:pPr>
          </w:p>
        </w:tc>
      </w:tr>
      <w:tr>
        <w:trPr>
          <w:trHeight w:val="216"/>
        </w:trPr>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Coverage ratio of IOLs</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154.3%</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148.5%</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148.8%</w:t>
            </w:r>
          </w:p>
        </w:tc>
        <w:tc>
          <w:tcPr>
            <w:tcW w:w="10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30 bps</w:t>
            </w:r>
          </w:p>
        </w:tc>
        <w:tc>
          <w:tcPr>
            <w:tcW w:w="10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-550 bps</w:t>
            </w:r>
          </w:p>
        </w:tc>
        <w:tc>
          <w:tcPr>
            <w:tcW w:w="0" w:type="dxa"/>
            <w:vAlign w:val="bottom"/>
          </w:tcPr>
          <w:p>
            <w:pPr>
              <w:spacing w:after="0"/>
              <w:rPr>
                <w:sz w:val="1"/>
                <w:szCs w:val="1"/>
                <w:color w:val="auto"/>
              </w:rPr>
            </w:pPr>
          </w:p>
        </w:tc>
      </w:tr>
      <w:tr>
        <w:trPr>
          <w:trHeight w:val="216"/>
        </w:trPr>
        <w:tc>
          <w:tcPr>
            <w:tcW w:w="3800" w:type="dxa"/>
            <w:vAlign w:val="bottom"/>
            <w:gridSpan w:val="3"/>
          </w:tcPr>
          <w:p>
            <w:pPr>
              <w:spacing w:after="0"/>
              <w:rPr>
                <w:sz w:val="20"/>
                <w:szCs w:val="20"/>
                <w:color w:val="auto"/>
              </w:rPr>
            </w:pPr>
            <w:r>
              <w:rPr>
                <w:rFonts w:ascii="Arial" w:cs="Arial" w:eastAsia="Arial" w:hAnsi="Arial"/>
                <w:sz w:val="18"/>
                <w:szCs w:val="18"/>
                <w:color w:val="auto"/>
              </w:rPr>
              <w:t>Coverage ratio of IOL 90-days</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205.0%</w:t>
            </w:r>
          </w:p>
        </w:tc>
        <w:tc>
          <w:tcPr>
            <w:tcW w:w="10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196.0%</w:t>
            </w:r>
          </w:p>
        </w:tc>
        <w:tc>
          <w:tcPr>
            <w:tcW w:w="100" w:type="dxa"/>
            <w:vAlign w:val="bottom"/>
          </w:tcPr>
          <w:p>
            <w:pPr>
              <w:spacing w:after="0"/>
              <w:rPr>
                <w:sz w:val="18"/>
                <w:szCs w:val="18"/>
                <w:color w:val="auto"/>
              </w:rPr>
            </w:pPr>
          </w:p>
        </w:tc>
        <w:tc>
          <w:tcPr>
            <w:tcW w:w="1680" w:type="dxa"/>
            <w:vAlign w:val="bottom"/>
            <w:gridSpan w:val="4"/>
          </w:tcPr>
          <w:p>
            <w:pPr>
              <w:jc w:val="right"/>
              <w:ind w:right="620"/>
              <w:spacing w:after="0"/>
              <w:rPr>
                <w:sz w:val="20"/>
                <w:szCs w:val="20"/>
                <w:color w:val="auto"/>
              </w:rPr>
            </w:pPr>
            <w:r>
              <w:rPr>
                <w:rFonts w:ascii="Arial" w:cs="Arial" w:eastAsia="Arial" w:hAnsi="Arial"/>
                <w:sz w:val="18"/>
                <w:szCs w:val="18"/>
                <w:color w:val="auto"/>
              </w:rPr>
              <w:t>-530 bps</w:t>
            </w:r>
          </w:p>
        </w:tc>
        <w:tc>
          <w:tcPr>
            <w:tcW w:w="1020" w:type="dxa"/>
            <w:vAlign w:val="bottom"/>
            <w:gridSpan w:val="2"/>
          </w:tcPr>
          <w:p>
            <w:pPr>
              <w:jc w:val="right"/>
              <w:ind w:right="90"/>
              <w:spacing w:after="0"/>
              <w:rPr>
                <w:sz w:val="20"/>
                <w:szCs w:val="20"/>
                <w:color w:val="auto"/>
              </w:rPr>
            </w:pPr>
            <w:r>
              <w:rPr>
                <w:rFonts w:ascii="Arial" w:cs="Arial" w:eastAsia="Arial" w:hAnsi="Arial"/>
                <w:sz w:val="18"/>
                <w:szCs w:val="18"/>
                <w:color w:val="auto"/>
              </w:rPr>
              <w:t>-900 bps</w:t>
            </w:r>
          </w:p>
        </w:tc>
        <w:tc>
          <w:tcPr>
            <w:tcW w:w="0" w:type="dxa"/>
            <w:vAlign w:val="bottom"/>
          </w:tcPr>
          <w:p>
            <w:pPr>
              <w:spacing w:after="0"/>
              <w:rPr>
                <w:sz w:val="1"/>
                <w:szCs w:val="1"/>
                <w:color w:val="auto"/>
              </w:rPr>
            </w:pPr>
          </w:p>
        </w:tc>
      </w:tr>
      <w:tr>
        <w:trPr>
          <w:trHeight w:val="216"/>
        </w:trPr>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Coverage ratio of NPLs</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112.8%</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108.5%</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108.9%</w:t>
            </w:r>
          </w:p>
        </w:tc>
        <w:tc>
          <w:tcPr>
            <w:tcW w:w="10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40 bps</w:t>
            </w:r>
          </w:p>
        </w:tc>
        <w:tc>
          <w:tcPr>
            <w:tcW w:w="10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-390 bps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overdue loans and loans under legal collection. (Quarter-end balances)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Non-performing loans include internal overdue loans and refinanced loans. (Quarter-end balances)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in this report.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When examining the portfolio’s delinquency ratios, it is important to note that:</w:t>
      </w:r>
    </w:p>
    <w:p>
      <w:pPr>
        <w:spacing w:after="0" w:line="225" w:lineRule="exact"/>
        <w:rPr>
          <w:sz w:val="20"/>
          <w:szCs w:val="20"/>
          <w:color w:val="auto"/>
        </w:rPr>
      </w:pPr>
    </w:p>
    <w:p>
      <w:pPr>
        <w:jc w:val="both"/>
        <w:ind w:left="980" w:hanging="648"/>
        <w:spacing w:after="0" w:line="264"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total IOL Portfolio reported slight growth QoQ and YoY, in line with the portfolio’s evolution. The IOL over 90 days portfolio increased 4.8% QoQ. This growth was mainly attributable to the Consumer segment and SME-Pyme segment, in line with the increase in provisions outlined in section 3.1. Provisions for Loan Losses.</w:t>
      </w:r>
    </w:p>
    <w:p>
      <w:pPr>
        <w:spacing w:after="0" w:line="181" w:lineRule="exact"/>
        <w:rPr>
          <w:rFonts w:ascii="Arial" w:cs="Arial" w:eastAsia="Arial" w:hAnsi="Arial"/>
          <w:sz w:val="18"/>
          <w:szCs w:val="18"/>
          <w:color w:val="auto"/>
        </w:rPr>
      </w:pPr>
    </w:p>
    <w:p>
      <w:pPr>
        <w:ind w:left="980" w:hanging="648"/>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NPL portfolio increase 1.6% QoQ and 4.8% YoY. This was primarily driven by growth in the IOL portfolio.</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Consequently, the delinquency ratios registered an improvement, which was driven by a context in which both the IOL portfolio and the NPL portfolio posted lower growth than gross loans. It is important to note that a portion of the reduction in these ratios is attributable to the sale of approximately S/60 million of under legal collection loans this quarter. These loans could not be written off because real guarantees were in place.</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coverage ratios improved QoQ given that growth in provisions for loan losses outpaced the expansion registered for the IOL portfolio and refinanced balances. Nevertheless, in the YoY analysis, the coverage ratios deteriorated due to an increase in charge-offs since the first quarter of the year.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Prior to analyzing the evolution of delinquency indicators, it is important to remember that:</w:t>
      </w:r>
    </w:p>
    <w:p>
      <w:pPr>
        <w:spacing w:after="0" w:line="225" w:lineRule="exact"/>
        <w:rPr>
          <w:sz w:val="20"/>
          <w:szCs w:val="20"/>
          <w:color w:val="auto"/>
        </w:rPr>
      </w:pPr>
    </w:p>
    <w:p>
      <w:pPr>
        <w:jc w:val="both"/>
        <w:ind w:left="980" w:hanging="648"/>
        <w:spacing w:after="0" w:line="312" w:lineRule="auto"/>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Traditional delinquency ratios (IOL and NPL ratios) continue to be distorted by the presence of loans with real estate collateral (commercial and residential properties). This means that a significant portion of loans that are more than 150 days past due cannot be written-off (despite the fact that provisions have been set aside) given that a judicial process must be initiated to liquidate the collateral, which takes five years on average.</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jc w:val="both"/>
        <w:ind w:left="980" w:hanging="648"/>
        <w:spacing w:after="0" w:line="264"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second half (2H) of every year, loans are more dynamic, particularly in the SME-Pyme and Mibanco segments given that the main campaigns (Christmas and year-end campaigns) are held in the second semester (2H) and these short-term loans are paid off in 1H of the following year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154940</wp:posOffset>
            </wp:positionV>
            <wp:extent cx="5213985" cy="21094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13985" cy="210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240" w:hanging="260"/>
        <w:spacing w:after="0"/>
        <w:tabs>
          <w:tab w:leader="none" w:pos="1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Adjusted NPL ratio = (Non-performing loans+ Write-offs) / (Total loans + Write-offs).</w:t>
      </w:r>
    </w:p>
    <w:p>
      <w:pPr>
        <w:spacing w:after="0" w:line="23" w:lineRule="exact"/>
        <w:rPr>
          <w:rFonts w:ascii="Arial" w:cs="Arial" w:eastAsia="Arial" w:hAnsi="Arial"/>
          <w:sz w:val="18"/>
          <w:szCs w:val="18"/>
          <w:color w:val="auto"/>
        </w:rPr>
      </w:pPr>
    </w:p>
    <w:p>
      <w:pPr>
        <w:ind w:left="1240" w:hanging="260"/>
        <w:spacing w:after="0"/>
        <w:tabs>
          <w:tab w:leader="none" w:pos="1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 of risk = Annualized provisions for loan losses net of recoveries / Total loans.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3.2.1. Delinquency indicators by business line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Wholesale Banking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154940</wp:posOffset>
            </wp:positionV>
            <wp:extent cx="6663690" cy="25901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63690" cy="259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980" w:hanging="648"/>
        <w:spacing w:after="0" w:line="264"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QoQ analysis shows a slight reduction in the IOL and refinanced portfolios. This decrease was primarily due to loan growth during the quarter. In the YoY evolution, the NPL ratio increased. This was mainly attributable to the refinancing extended a specific client in the last quarter of 2018.</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jc w:val="center"/>
        <w:ind w:right="312"/>
        <w:spacing w:after="0"/>
        <w:rPr>
          <w:sz w:val="20"/>
          <w:szCs w:val="20"/>
          <w:color w:val="auto"/>
        </w:rPr>
      </w:pPr>
      <w:r>
        <w:rPr>
          <w:rFonts w:ascii="Arial" w:cs="Arial" w:eastAsia="Arial" w:hAnsi="Arial"/>
          <w:sz w:val="18"/>
          <w:szCs w:val="18"/>
          <w:b w:val="1"/>
          <w:bCs w:val="1"/>
          <w:color w:val="auto"/>
        </w:rPr>
        <w:t>SME-Business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154940</wp:posOffset>
            </wp:positionV>
            <wp:extent cx="6612255" cy="2675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12255" cy="267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548" w:hanging="494"/>
        <w:spacing w:after="0" w:line="259" w:lineRule="auto"/>
        <w:tabs>
          <w:tab w:leader="none" w:pos="5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IOL and NPL ratios posted increases both QoQ and YoY. This was mainly attributable to the deterioration of the debt service capacity of a small number of clients. These loans have been fully provisioned and are backed by guarantees. It is important to note that this segment’s risk quality indicators are within the appetite for risk that has been set where the objective is to maximize the portfolio’s profitability by striking an adequate balance between risk quality and growth.</w:t>
      </w:r>
    </w:p>
    <w:p>
      <w:pPr>
        <w:spacing w:after="0" w:line="183"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SME - Pyme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154940</wp:posOffset>
            </wp:positionV>
            <wp:extent cx="6620510" cy="25984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20510" cy="2598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648" w:hanging="648"/>
        <w:spacing w:after="0" w:line="312" w:lineRule="auto"/>
        <w:tabs>
          <w:tab w:leader="none" w:pos="648"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 the SME-Pyme loan book, it is important to analyze the early delinquency ratio, which excludes loans that are overdue less than 60 days (volatile loans whose percentage of recovery is very high) and those overdue more than 150 days (loans that have been provisioned but which cannot be written off due to the existence of real estate collateral- commercial properties - that take five years on average to liquidate).</w:t>
      </w:r>
    </w:p>
    <w:p>
      <w:pPr>
        <w:spacing w:after="0" w:line="146" w:lineRule="exact"/>
        <w:rPr>
          <w:rFonts w:ascii="Arial" w:cs="Arial" w:eastAsia="Arial" w:hAnsi="Arial"/>
          <w:sz w:val="16"/>
          <w:szCs w:val="16"/>
          <w:color w:val="auto"/>
        </w:rPr>
      </w:pPr>
    </w:p>
    <w:p>
      <w:pPr>
        <w:jc w:val="both"/>
        <w:ind w:left="648"/>
        <w:spacing w:after="0" w:line="259" w:lineRule="auto"/>
        <w:rPr>
          <w:rFonts w:ascii="Arial" w:cs="Arial" w:eastAsia="Arial" w:hAnsi="Arial"/>
          <w:sz w:val="16"/>
          <w:szCs w:val="16"/>
          <w:color w:val="auto"/>
        </w:rPr>
      </w:pPr>
      <w:r>
        <w:rPr>
          <w:rFonts w:ascii="Arial" w:cs="Arial" w:eastAsia="Arial" w:hAnsi="Arial"/>
          <w:sz w:val="18"/>
          <w:szCs w:val="18"/>
          <w:color w:val="auto"/>
        </w:rPr>
        <w:t>In 3Q19, the IOL and NPL ratios posted a slight improvement QoQ and YoY, mainly due to the sale of a portion of the under legal collection loans this quarter. The early delinquency ratio registered a slight improvement QoQ of 13 bps but reported a deterioration of 27 bps YoY. This deterioration was attributable to an increase in the number of clients whose loans are more than 60 days past due, which triggered an increase in provisions.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904" w:right="239" w:bottom="1440" w:gutter="0" w:footer="0" w:header="0"/>
        </w:sectPr>
      </w:pPr>
    </w:p>
    <w:bookmarkStart w:id="24" w:name="page25"/>
    <w:bookmarkEnd w:id="24"/>
    <w:p>
      <w:pPr>
        <w:jc w:val="both"/>
        <w:ind w:left="648" w:right="20"/>
        <w:spacing w:after="0" w:line="264" w:lineRule="auto"/>
        <w:rPr>
          <w:sz w:val="20"/>
          <w:szCs w:val="20"/>
          <w:color w:val="auto"/>
        </w:rPr>
      </w:pPr>
      <w:r>
        <w:rPr>
          <w:rFonts w:ascii="Arial" w:cs="Arial" w:eastAsia="Arial" w:hAnsi="Arial"/>
          <w:sz w:val="18"/>
          <w:szCs w:val="18"/>
          <w:color w:val="auto"/>
        </w:rPr>
        <w:t>It is important to note that since 2017, this segment has situated comfortably within the risk appetite levels set for the segment, where the objective is to maximize the portfolio’s profitability while striking an adequate balance between risk quality and portfolio growth that is in accordance with the organization’s risk framework.</w:t>
      </w:r>
    </w:p>
    <w:p>
      <w:pPr>
        <w:spacing w:after="0" w:line="177"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Mortgage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154940</wp:posOffset>
            </wp:positionV>
            <wp:extent cx="6663690" cy="26587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63690" cy="265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48" w:hanging="648"/>
        <w:spacing w:after="0" w:line="277" w:lineRule="auto"/>
        <w:tabs>
          <w:tab w:leader="none" w:pos="648"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terms of Mortgage loans, it is important to note that these ratios are also affected by the existence of real estate collateral and foreclosure takes around 5 years. During this period, these loans cannot be written-off, even when they are fully provisioned.</w:t>
      </w:r>
    </w:p>
    <w:p>
      <w:pPr>
        <w:spacing w:after="0" w:line="170" w:lineRule="exact"/>
        <w:rPr>
          <w:rFonts w:ascii="Arial" w:cs="Arial" w:eastAsia="Arial" w:hAnsi="Arial"/>
          <w:sz w:val="18"/>
          <w:szCs w:val="18"/>
          <w:color w:val="auto"/>
        </w:rPr>
      </w:pPr>
    </w:p>
    <w:p>
      <w:pPr>
        <w:ind w:left="648" w:right="20"/>
        <w:spacing w:after="0" w:line="277" w:lineRule="auto"/>
        <w:rPr>
          <w:rFonts w:ascii="Arial" w:cs="Arial" w:eastAsia="Arial" w:hAnsi="Arial"/>
          <w:sz w:val="18"/>
          <w:szCs w:val="18"/>
          <w:color w:val="auto"/>
        </w:rPr>
      </w:pPr>
      <w:r>
        <w:rPr>
          <w:rFonts w:ascii="Arial" w:cs="Arial" w:eastAsia="Arial" w:hAnsi="Arial"/>
          <w:sz w:val="18"/>
          <w:szCs w:val="18"/>
          <w:color w:val="auto"/>
        </w:rPr>
        <w:t>Traditional delinquency ratios fell QoQ and YoY given that the pace of growth of total loans increased after mortgage loan origination accelerated and the sale of the under legal collection loans this quarter.</w:t>
      </w:r>
    </w:p>
    <w:p>
      <w:pPr>
        <w:spacing w:after="0" w:line="170" w:lineRule="exact"/>
        <w:rPr>
          <w:sz w:val="20"/>
          <w:szCs w:val="20"/>
          <w:color w:val="auto"/>
        </w:rPr>
      </w:pPr>
    </w:p>
    <w:p>
      <w:pPr>
        <w:ind w:left="648"/>
        <w:spacing w:after="0" w:line="342" w:lineRule="auto"/>
        <w:rPr>
          <w:sz w:val="20"/>
          <w:szCs w:val="20"/>
          <w:color w:val="auto"/>
        </w:rPr>
      </w:pPr>
      <w:r>
        <w:rPr>
          <w:rFonts w:ascii="Arial" w:cs="Arial" w:eastAsia="Arial" w:hAnsi="Arial"/>
          <w:sz w:val="16"/>
          <w:szCs w:val="16"/>
          <w:color w:val="auto"/>
        </w:rPr>
        <w:t>The early delinquency ratio, which excludes the effect of loans that are over 150 days overdue, was relatively stable QoQ and YoY. It is important to note that this indicator is situated better than the average observed for the last three years and the organization’s appetite for risk.</w:t>
      </w:r>
    </w:p>
    <w:p>
      <w:pPr>
        <w:spacing w:after="0" w:line="120"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Consumer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154940</wp:posOffset>
            </wp:positionV>
            <wp:extent cx="6689090" cy="26670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89090" cy="266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648" w:hanging="648"/>
        <w:spacing w:after="0" w:line="264" w:lineRule="auto"/>
        <w:tabs>
          <w:tab w:leader="none" w:pos="64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indicators for traditional delinquency registered a drop both QoQ and YoY, which was primarily attributable to growth in total loans after: i) campaigns were rolled out to offer better products and conditions to clients, and ii) to the sale of a portion of the under legal collection loans this quarter. It is important to note that the portfolio is within the organization’s appetite for risk.</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908" w:right="239" w:bottom="1440" w:gutter="0" w:footer="0" w:header="0"/>
        </w:sectPr>
      </w:pPr>
    </w:p>
    <w:bookmarkStart w:id="25" w:name="page26"/>
    <w:bookmarkEnd w:id="25"/>
    <w:p>
      <w:pPr>
        <w:jc w:val="both"/>
        <w:ind w:left="648" w:right="20"/>
        <w:spacing w:after="0" w:line="277" w:lineRule="auto"/>
        <w:rPr>
          <w:sz w:val="20"/>
          <w:szCs w:val="20"/>
          <w:color w:val="auto"/>
        </w:rPr>
      </w:pPr>
      <w:r>
        <w:rPr>
          <w:rFonts w:ascii="Arial" w:cs="Arial" w:eastAsia="Arial" w:hAnsi="Arial"/>
          <w:sz w:val="18"/>
          <w:szCs w:val="18"/>
          <w:color w:val="auto"/>
        </w:rPr>
        <w:t>Our traditional delinquency and early delinquency levels are both at the lowest levels that we have seen in the last five years, which speaks well of our risk management and collections initiatives.</w:t>
      </w:r>
    </w:p>
    <w:p>
      <w:pPr>
        <w:spacing w:after="0" w:line="170" w:lineRule="exact"/>
        <w:rPr>
          <w:sz w:val="20"/>
          <w:szCs w:val="20"/>
          <w:color w:val="auto"/>
        </w:rPr>
      </w:pPr>
    </w:p>
    <w:p>
      <w:pPr>
        <w:jc w:val="both"/>
        <w:ind w:left="648"/>
        <w:spacing w:after="0" w:line="264" w:lineRule="auto"/>
        <w:rPr>
          <w:sz w:val="20"/>
          <w:szCs w:val="20"/>
          <w:color w:val="auto"/>
        </w:rPr>
      </w:pPr>
      <w:r>
        <w:rPr>
          <w:rFonts w:ascii="Arial" w:cs="Arial" w:eastAsia="Arial" w:hAnsi="Arial"/>
          <w:sz w:val="18"/>
          <w:szCs w:val="18"/>
          <w:color w:val="auto"/>
        </w:rPr>
        <w:t>Delinquency ratios have improved; nonetheless, the consumer segment has registered an increase in provisions. This was due, in part, to the higher risk assumed when generating digital sales. These products may imply greater risk, but the upside is that they are accompanied by higher income.</w:t>
      </w:r>
    </w:p>
    <w:p>
      <w:pPr>
        <w:spacing w:after="0" w:line="177"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Credit Card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154940</wp:posOffset>
            </wp:positionV>
            <wp:extent cx="6671945" cy="26073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71945" cy="260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left="648" w:hanging="648"/>
        <w:spacing w:after="0" w:line="259" w:lineRule="auto"/>
        <w:tabs>
          <w:tab w:leader="none" w:pos="64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Credit Card segment registered a decline in its traditional delinquency ratios QoQ. This was primarily due to the sale of the under legal collection loans this quarter and to the effect of statutory bonus payments to dependent employees in July, which prompted some clients to pay credit card debts. The early delinquency ratio posted a drop given that growth in total loans was greater than the expansion posted by loans overdue by 60 and 150 days.</w:t>
      </w:r>
    </w:p>
    <w:p>
      <w:pPr>
        <w:spacing w:after="0" w:line="187" w:lineRule="exact"/>
        <w:rPr>
          <w:sz w:val="20"/>
          <w:szCs w:val="20"/>
          <w:color w:val="auto"/>
        </w:rPr>
      </w:pPr>
    </w:p>
    <w:p>
      <w:pPr>
        <w:ind w:left="648"/>
        <w:spacing w:after="0" w:line="308" w:lineRule="auto"/>
        <w:rPr>
          <w:sz w:val="20"/>
          <w:szCs w:val="20"/>
          <w:color w:val="auto"/>
        </w:rPr>
      </w:pPr>
      <w:r>
        <w:rPr>
          <w:rFonts w:ascii="Arial" w:cs="Arial" w:eastAsia="Arial" w:hAnsi="Arial"/>
          <w:sz w:val="17"/>
          <w:szCs w:val="17"/>
          <w:color w:val="auto"/>
        </w:rPr>
        <w:t>In the YoY analysis, the traditional delinquency ratios also improved. This was mainly due to growth in total loans and to the sale of a portion of the portfolio. Nevertheless, early delinquency rose, driven primarily by an increase in loans that are more than 90 days overdue.</w:t>
      </w:r>
    </w:p>
    <w:p>
      <w:pPr>
        <w:spacing w:after="0" w:line="143"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Mibanco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154940</wp:posOffset>
            </wp:positionV>
            <wp:extent cx="6629400" cy="26073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29400" cy="260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908" w:right="239" w:bottom="1440" w:gutter="0" w:footer="0" w:header="0"/>
        </w:sectPr>
      </w:pPr>
    </w:p>
    <w:bookmarkStart w:id="26" w:name="page27"/>
    <w:bookmarkEnd w:id="26"/>
    <w:p>
      <w:pPr>
        <w:ind w:left="648" w:right="20" w:hanging="648"/>
        <w:spacing w:after="0" w:line="277" w:lineRule="auto"/>
        <w:tabs>
          <w:tab w:leader="none" w:pos="64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IOL ratio improved slightly QoQ and YoY due to the decrease of the write-offs. The NPL portfolio posted and improvement both QoQ and YoY due to initiatives to optimize new loan acceptance, which has help cut the number of refinanced loans.</w:t>
      </w:r>
    </w:p>
    <w:p>
      <w:pPr>
        <w:spacing w:after="0" w:line="170" w:lineRule="exact"/>
        <w:rPr>
          <w:sz w:val="20"/>
          <w:szCs w:val="20"/>
          <w:color w:val="auto"/>
        </w:rPr>
      </w:pPr>
    </w:p>
    <w:p>
      <w:pPr>
        <w:ind w:left="648" w:right="20"/>
        <w:spacing w:after="0" w:line="277" w:lineRule="auto"/>
        <w:rPr>
          <w:sz w:val="20"/>
          <w:szCs w:val="20"/>
          <w:color w:val="auto"/>
        </w:rPr>
      </w:pPr>
      <w:r>
        <w:rPr>
          <w:rFonts w:ascii="Arial" w:cs="Arial" w:eastAsia="Arial" w:hAnsi="Arial"/>
          <w:sz w:val="18"/>
          <w:szCs w:val="18"/>
          <w:color w:val="auto"/>
        </w:rPr>
        <w:t>The cost of risk deteriorated QoQ due to the effect of macroeconomic estimates, as indicated in section 3.1. Provisions for Loan Losses, and to the increase in new disbursements. In the YoY analysis, the probability of improved.</w:t>
      </w:r>
    </w:p>
    <w:p>
      <w:pPr>
        <w:spacing w:after="0" w:line="166"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BCP Bolivia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154940</wp:posOffset>
            </wp:positionV>
            <wp:extent cx="6577965" cy="25984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577965" cy="2598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648" w:hanging="648"/>
        <w:spacing w:after="0" w:line="264" w:lineRule="auto"/>
        <w:tabs>
          <w:tab w:leader="none" w:pos="648" w:val="left"/>
        </w:tabs>
        <w:numPr>
          <w:ilvl w:val="0"/>
          <w:numId w:val="37"/>
        </w:numPr>
        <w:rPr>
          <w:rFonts w:ascii="Arial" w:cs="Arial" w:eastAsia="Arial" w:hAnsi="Arial"/>
          <w:sz w:val="18"/>
          <w:szCs w:val="18"/>
          <w:color w:val="auto"/>
        </w:rPr>
      </w:pPr>
      <w:r>
        <w:rPr>
          <w:rFonts w:ascii="Arial" w:cs="Arial" w:eastAsia="Arial" w:hAnsi="Arial"/>
          <w:sz w:val="18"/>
          <w:szCs w:val="18"/>
          <w:color w:val="auto"/>
        </w:rPr>
        <w:t>BCP Bolivia reported deterioration QoQ and YoY in its traditional delinquency ratios. This result was primarily attributable to Retail Banking and is aligned with the evolution posted by the financial system in general in Bolivia. Nonetheless, it is important to note that BCP Bolivia has one of the lowest delinquency ratios in the system.</w:t>
      </w:r>
    </w:p>
    <w:p>
      <w:pPr>
        <w:spacing w:after="0" w:line="181" w:lineRule="exact"/>
        <w:rPr>
          <w:rFonts w:ascii="Arial" w:cs="Arial" w:eastAsia="Arial" w:hAnsi="Arial"/>
          <w:sz w:val="18"/>
          <w:szCs w:val="18"/>
          <w:color w:val="auto"/>
        </w:rPr>
      </w:pPr>
    </w:p>
    <w:p>
      <w:pPr>
        <w:ind w:left="648"/>
        <w:spacing w:after="0" w:line="308" w:lineRule="auto"/>
        <w:rPr>
          <w:rFonts w:ascii="Arial" w:cs="Arial" w:eastAsia="Arial" w:hAnsi="Arial"/>
          <w:sz w:val="18"/>
          <w:szCs w:val="18"/>
          <w:color w:val="auto"/>
        </w:rPr>
      </w:pPr>
      <w:r>
        <w:rPr>
          <w:rFonts w:ascii="Arial" w:cs="Arial" w:eastAsia="Arial" w:hAnsi="Arial"/>
          <w:sz w:val="17"/>
          <w:szCs w:val="17"/>
          <w:color w:val="auto"/>
        </w:rPr>
        <w:t>In terms of the cost of risk, it presented an improvement QoQ and YoY due to the decrease in over-due days of some clients that already that already presented deteriorated loans, which represents a reduction in the probability of default in the expected loss model.</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90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4. Net Interest Income (NII)</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 3Q19, NII, Credicorp’s main source of income, increased +0.9% QoQ and +6.5% YoY while average interest earning assets rose +2.4% QoQ and +8.9% YoY. The aforementioned led NIM to deteriorate -8 bps QoQ and - 13bps YoY. YTD, NII increased +7.7%, which translated into an increase of +6bps in NIM. These results were attributable to an improvement in the evolution this year versus last. Nevertheless, due to the increase in the cost of risk, risk-adjusted NIM contracted -18bps QoQ, -18bps YoY and -5bps YTD.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Net interest income</w:t>
            </w: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Quarter</w:t>
            </w: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3"/>
          </w:tcPr>
          <w:p>
            <w:pPr>
              <w:ind w:left="380"/>
              <w:spacing w:after="0"/>
              <w:rPr>
                <w:sz w:val="20"/>
                <w:szCs w:val="20"/>
                <w:color w:val="auto"/>
              </w:rPr>
            </w:pPr>
            <w:r>
              <w:rPr>
                <w:rFonts w:ascii="Arial" w:cs="Arial" w:eastAsia="Arial" w:hAnsi="Arial"/>
                <w:sz w:val="14"/>
                <w:szCs w:val="14"/>
                <w:b w:val="1"/>
                <w:bCs w:val="1"/>
                <w:color w:val="auto"/>
                <w:w w:val="94"/>
              </w:rPr>
              <w:t>% change</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YTD</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3"/>
          </w:tcPr>
          <w:p>
            <w:pPr>
              <w:jc w:val="right"/>
              <w:ind w:right="14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9"/>
        </w:trPr>
        <w:tc>
          <w:tcPr>
            <w:tcW w:w="3420" w:type="dxa"/>
            <w:vAlign w:val="bottom"/>
            <w:vMerge w:val="restart"/>
          </w:tcPr>
          <w:p>
            <w:pPr>
              <w:spacing w:after="0"/>
              <w:rPr>
                <w:sz w:val="20"/>
                <w:szCs w:val="20"/>
                <w:color w:val="auto"/>
              </w:rPr>
            </w:pPr>
            <w:r>
              <w:rPr>
                <w:rFonts w:ascii="Arial" w:cs="Arial" w:eastAsia="Arial" w:hAnsi="Arial"/>
                <w:sz w:val="14"/>
                <w:szCs w:val="14"/>
                <w:b w:val="1"/>
                <w:bCs w:val="1"/>
                <w:color w:val="auto"/>
              </w:rPr>
              <w:t>S/ 000</w:t>
            </w:r>
          </w:p>
        </w:tc>
        <w:tc>
          <w:tcPr>
            <w:tcW w:w="140" w:type="dxa"/>
            <w:vAlign w:val="bottom"/>
            <w:vMerge w:val="restart"/>
          </w:tcPr>
          <w:p>
            <w:pPr>
              <w:spacing w:after="0"/>
              <w:rPr>
                <w:sz w:val="12"/>
                <w:szCs w:val="12"/>
                <w:color w:val="auto"/>
              </w:rPr>
            </w:pPr>
          </w:p>
        </w:tc>
        <w:tc>
          <w:tcPr>
            <w:tcW w:w="7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3Q18</w:t>
            </w:r>
          </w:p>
        </w:tc>
        <w:tc>
          <w:tcPr>
            <w:tcW w:w="320" w:type="dxa"/>
            <w:vAlign w:val="bottom"/>
            <w:vMerge w:val="restart"/>
          </w:tcPr>
          <w:p>
            <w:pPr>
              <w:spacing w:after="0"/>
              <w:rPr>
                <w:sz w:val="12"/>
                <w:szCs w:val="12"/>
                <w:color w:val="auto"/>
              </w:rPr>
            </w:pPr>
          </w:p>
        </w:tc>
        <w:tc>
          <w:tcPr>
            <w:tcW w:w="7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2Q19</w:t>
            </w:r>
          </w:p>
        </w:tc>
        <w:tc>
          <w:tcPr>
            <w:tcW w:w="320" w:type="dxa"/>
            <w:vAlign w:val="bottom"/>
            <w:vMerge w:val="restart"/>
          </w:tcPr>
          <w:p>
            <w:pPr>
              <w:spacing w:after="0"/>
              <w:rPr>
                <w:sz w:val="12"/>
                <w:szCs w:val="12"/>
                <w:color w:val="auto"/>
              </w:rPr>
            </w:pPr>
          </w:p>
        </w:tc>
        <w:tc>
          <w:tcPr>
            <w:tcW w:w="7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3Q19</w:t>
            </w:r>
          </w:p>
        </w:tc>
        <w:tc>
          <w:tcPr>
            <w:tcW w:w="320" w:type="dxa"/>
            <w:vAlign w:val="bottom"/>
            <w:vMerge w:val="restart"/>
          </w:tcPr>
          <w:p>
            <w:pPr>
              <w:spacing w:after="0"/>
              <w:rPr>
                <w:sz w:val="12"/>
                <w:szCs w:val="12"/>
                <w:color w:val="auto"/>
              </w:rPr>
            </w:pPr>
          </w:p>
        </w:tc>
        <w:tc>
          <w:tcPr>
            <w:tcW w:w="5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QoQ</w:t>
            </w:r>
          </w:p>
        </w:tc>
        <w:tc>
          <w:tcPr>
            <w:tcW w:w="32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4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YoY</w:t>
            </w:r>
          </w:p>
        </w:tc>
        <w:tc>
          <w:tcPr>
            <w:tcW w:w="320" w:type="dxa"/>
            <w:vAlign w:val="bottom"/>
            <w:vMerge w:val="restart"/>
          </w:tcPr>
          <w:p>
            <w:pPr>
              <w:spacing w:after="0"/>
              <w:rPr>
                <w:sz w:val="12"/>
                <w:szCs w:val="12"/>
                <w:color w:val="auto"/>
              </w:rPr>
            </w:pPr>
          </w:p>
        </w:tc>
        <w:tc>
          <w:tcPr>
            <w:tcW w:w="7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Sep 18</w:t>
            </w:r>
          </w:p>
        </w:tc>
        <w:tc>
          <w:tcPr>
            <w:tcW w:w="340" w:type="dxa"/>
            <w:vAlign w:val="bottom"/>
            <w:vMerge w:val="restart"/>
          </w:tcPr>
          <w:p>
            <w:pPr>
              <w:spacing w:after="0"/>
              <w:rPr>
                <w:sz w:val="12"/>
                <w:szCs w:val="12"/>
                <w:color w:val="auto"/>
              </w:rPr>
            </w:pPr>
          </w:p>
        </w:tc>
        <w:tc>
          <w:tcPr>
            <w:tcW w:w="7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Sep 19</w:t>
            </w:r>
          </w:p>
        </w:tc>
        <w:tc>
          <w:tcPr>
            <w:tcW w:w="24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48"/>
              <w:spacing w:after="0" w:line="149" w:lineRule="exact"/>
              <w:rPr>
                <w:sz w:val="20"/>
                <w:szCs w:val="20"/>
                <w:color w:val="auto"/>
              </w:rPr>
            </w:pPr>
            <w:r>
              <w:rPr>
                <w:rFonts w:ascii="Arial" w:cs="Arial" w:eastAsia="Arial" w:hAnsi="Arial"/>
                <w:sz w:val="14"/>
                <w:szCs w:val="14"/>
                <w:b w:val="1"/>
                <w:bCs w:val="1"/>
                <w:color w:val="auto"/>
              </w:rPr>
              <w:t>Sep 19 /</w:t>
            </w:r>
          </w:p>
        </w:tc>
        <w:tc>
          <w:tcPr>
            <w:tcW w:w="0" w:type="dxa"/>
            <w:vAlign w:val="bottom"/>
          </w:tcPr>
          <w:p>
            <w:pPr>
              <w:spacing w:after="0"/>
              <w:rPr>
                <w:sz w:val="1"/>
                <w:szCs w:val="1"/>
                <w:color w:val="auto"/>
              </w:rPr>
            </w:pPr>
          </w:p>
        </w:tc>
      </w:tr>
      <w:tr>
        <w:trPr>
          <w:trHeight w:val="171"/>
        </w:trPr>
        <w:tc>
          <w:tcPr>
            <w:tcW w:w="34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CEEFF"/>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CEEFF"/>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CEEFF"/>
            </w:tcBorders>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CEEFF"/>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CEEFF"/>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Sep 18</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Interest income</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2,887,326</w:t>
            </w: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3,083,623</w:t>
            </w: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3,123,672</w:t>
            </w:r>
          </w:p>
        </w:tc>
        <w:tc>
          <w:tcPr>
            <w:tcW w:w="3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8"/>
              <w:spacing w:after="0" w:line="142" w:lineRule="exact"/>
              <w:rPr>
                <w:sz w:val="20"/>
                <w:szCs w:val="20"/>
                <w:color w:val="auto"/>
              </w:rPr>
            </w:pPr>
            <w:r>
              <w:rPr>
                <w:rFonts w:ascii="Arial" w:cs="Arial" w:eastAsia="Arial" w:hAnsi="Arial"/>
                <w:sz w:val="14"/>
                <w:szCs w:val="14"/>
                <w:b w:val="1"/>
                <w:bCs w:val="1"/>
                <w:color w:val="auto"/>
              </w:rPr>
              <w:t>1.3%</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8"/>
              <w:spacing w:after="0" w:line="142" w:lineRule="exact"/>
              <w:rPr>
                <w:sz w:val="20"/>
                <w:szCs w:val="20"/>
                <w:color w:val="auto"/>
              </w:rPr>
            </w:pPr>
            <w:r>
              <w:rPr>
                <w:rFonts w:ascii="Arial" w:cs="Arial" w:eastAsia="Arial" w:hAnsi="Arial"/>
                <w:sz w:val="14"/>
                <w:szCs w:val="14"/>
                <w:b w:val="1"/>
                <w:bCs w:val="1"/>
                <w:color w:val="auto"/>
              </w:rPr>
              <w:t>8.2%</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8,489,090</w:t>
            </w: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9,208,969</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8.5%</w:t>
            </w:r>
          </w:p>
        </w:tc>
        <w:tc>
          <w:tcPr>
            <w:tcW w:w="0" w:type="dxa"/>
            <w:vAlign w:val="bottom"/>
          </w:tcPr>
          <w:p>
            <w:pPr>
              <w:spacing w:after="0"/>
              <w:rPr>
                <w:sz w:val="1"/>
                <w:szCs w:val="1"/>
                <w:color w:val="auto"/>
              </w:rPr>
            </w:pPr>
          </w:p>
        </w:tc>
      </w:tr>
      <w:tr>
        <w:trPr>
          <w:trHeight w:val="149"/>
        </w:trPr>
        <w:tc>
          <w:tcPr>
            <w:tcW w:w="35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Interest on loans</w:t>
            </w: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2,538,591</w:t>
            </w: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2,632,649</w:t>
            </w: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2,701,117</w:t>
            </w:r>
          </w:p>
        </w:tc>
        <w:tc>
          <w:tcPr>
            <w:tcW w:w="90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2.6%</w:t>
            </w:r>
          </w:p>
        </w:tc>
        <w:tc>
          <w:tcPr>
            <w:tcW w:w="120" w:type="dxa"/>
            <w:vAlign w:val="bottom"/>
          </w:tcPr>
          <w:p>
            <w:pPr>
              <w:spacing w:after="0"/>
              <w:rPr>
                <w:sz w:val="12"/>
                <w:szCs w:val="12"/>
                <w:color w:val="auto"/>
              </w:rPr>
            </w:pPr>
          </w:p>
        </w:tc>
        <w:tc>
          <w:tcPr>
            <w:tcW w:w="78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6.4%</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7,415,916</w:t>
            </w:r>
          </w:p>
        </w:tc>
        <w:tc>
          <w:tcPr>
            <w:tcW w:w="34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7,896,052</w:t>
            </w:r>
          </w:p>
        </w:tc>
        <w:tc>
          <w:tcPr>
            <w:tcW w:w="9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9"/>
        </w:trPr>
        <w:tc>
          <w:tcPr>
            <w:tcW w:w="35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Dividends on investments</w:t>
            </w: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2,893</w:t>
            </w: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8,914</w:t>
            </w: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2,915</w:t>
            </w:r>
          </w:p>
        </w:tc>
        <w:tc>
          <w:tcPr>
            <w:tcW w:w="90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-67.3%</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0.8%</w:t>
            </w: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18,186</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21,496</w:t>
            </w:r>
          </w:p>
        </w:tc>
        <w:tc>
          <w:tcPr>
            <w:tcW w:w="9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49"/>
        </w:trPr>
        <w:tc>
          <w:tcPr>
            <w:tcW w:w="35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Interest on deposits with banks</w:t>
            </w: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36,448</w:t>
            </w: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85,477</w:t>
            </w: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79,723</w:t>
            </w:r>
          </w:p>
        </w:tc>
        <w:tc>
          <w:tcPr>
            <w:tcW w:w="90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-6.7%</w:t>
            </w:r>
          </w:p>
        </w:tc>
        <w:tc>
          <w:tcPr>
            <w:tcW w:w="120" w:type="dxa"/>
            <w:vAlign w:val="bottom"/>
          </w:tcPr>
          <w:p>
            <w:pPr>
              <w:spacing w:after="0"/>
              <w:rPr>
                <w:sz w:val="12"/>
                <w:szCs w:val="12"/>
                <w:color w:val="auto"/>
              </w:rPr>
            </w:pPr>
          </w:p>
        </w:tc>
        <w:tc>
          <w:tcPr>
            <w:tcW w:w="78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118.7%</w:t>
            </w: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95,672</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251,899</w:t>
            </w:r>
          </w:p>
        </w:tc>
        <w:tc>
          <w:tcPr>
            <w:tcW w:w="9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163.3%</w:t>
            </w:r>
          </w:p>
        </w:tc>
        <w:tc>
          <w:tcPr>
            <w:tcW w:w="0" w:type="dxa"/>
            <w:vAlign w:val="bottom"/>
          </w:tcPr>
          <w:p>
            <w:pPr>
              <w:spacing w:after="0"/>
              <w:rPr>
                <w:sz w:val="1"/>
                <w:szCs w:val="1"/>
                <w:color w:val="auto"/>
              </w:rPr>
            </w:pPr>
          </w:p>
        </w:tc>
      </w:tr>
      <w:tr>
        <w:trPr>
          <w:trHeight w:val="149"/>
        </w:trPr>
        <w:tc>
          <w:tcPr>
            <w:tcW w:w="35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Interest on securities</w:t>
            </w: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304,528</w:t>
            </w: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341,930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325,311</w:t>
            </w:r>
          </w:p>
        </w:tc>
        <w:tc>
          <w:tcPr>
            <w:tcW w:w="3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6.8%</w:t>
            </w: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925,591</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1,000,029</w:t>
            </w:r>
          </w:p>
        </w:tc>
        <w:tc>
          <w:tcPr>
            <w:tcW w:w="9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49"/>
        </w:trPr>
        <w:tc>
          <w:tcPr>
            <w:tcW w:w="35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Other interest income</w:t>
            </w: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4,866</w:t>
            </w: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14,653</w:t>
            </w: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14,606</w:t>
            </w:r>
          </w:p>
        </w:tc>
        <w:tc>
          <w:tcPr>
            <w:tcW w:w="90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-0.3%</w:t>
            </w:r>
          </w:p>
        </w:tc>
        <w:tc>
          <w:tcPr>
            <w:tcW w:w="120" w:type="dxa"/>
            <w:vAlign w:val="bottom"/>
          </w:tcPr>
          <w:p>
            <w:pPr>
              <w:spacing w:after="0"/>
              <w:rPr>
                <w:sz w:val="12"/>
                <w:szCs w:val="12"/>
                <w:color w:val="auto"/>
              </w:rPr>
            </w:pPr>
          </w:p>
        </w:tc>
        <w:tc>
          <w:tcPr>
            <w:tcW w:w="78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200.2%</w:t>
            </w: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33,725</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39,493</w:t>
            </w:r>
          </w:p>
        </w:tc>
        <w:tc>
          <w:tcPr>
            <w:tcW w:w="9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49"/>
        </w:trPr>
        <w:tc>
          <w:tcPr>
            <w:tcW w:w="3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Interest expense</w:t>
            </w: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b w:val="1"/>
                <w:bCs w:val="1"/>
                <w:color w:val="auto"/>
              </w:rPr>
              <w:t>748,193</w:t>
            </w: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b w:val="1"/>
                <w:bCs w:val="1"/>
                <w:color w:val="auto"/>
              </w:rPr>
              <w:t>826,866</w:t>
            </w: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b w:val="1"/>
                <w:bCs w:val="1"/>
                <w:color w:val="auto"/>
              </w:rPr>
              <w:t>846,288</w:t>
            </w:r>
          </w:p>
        </w:tc>
        <w:tc>
          <w:tcPr>
            <w:tcW w:w="90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b w:val="1"/>
                <w:bCs w:val="1"/>
                <w:color w:val="auto"/>
              </w:rPr>
              <w:t>2.3%</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b w:val="1"/>
                <w:bCs w:val="1"/>
                <w:color w:val="auto"/>
              </w:rPr>
              <w:t>13.1%</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2,244,238</w:t>
            </w:r>
          </w:p>
        </w:tc>
        <w:tc>
          <w:tcPr>
            <w:tcW w:w="3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2,485,910</w:t>
            </w:r>
          </w:p>
        </w:tc>
        <w:tc>
          <w:tcPr>
            <w:tcW w:w="9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10.8%</w:t>
            </w:r>
          </w:p>
        </w:tc>
        <w:tc>
          <w:tcPr>
            <w:tcW w:w="0" w:type="dxa"/>
            <w:vAlign w:val="bottom"/>
          </w:tcPr>
          <w:p>
            <w:pPr>
              <w:spacing w:after="0"/>
              <w:rPr>
                <w:sz w:val="1"/>
                <w:szCs w:val="1"/>
                <w:color w:val="auto"/>
              </w:rPr>
            </w:pPr>
          </w:p>
        </w:tc>
      </w:tr>
      <w:tr>
        <w:trPr>
          <w:trHeight w:val="149"/>
        </w:trPr>
        <w:tc>
          <w:tcPr>
            <w:tcW w:w="35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Interest on deposits</w:t>
            </w: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293,512</w:t>
            </w: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364,997</w:t>
            </w: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372,822</w:t>
            </w:r>
          </w:p>
        </w:tc>
        <w:tc>
          <w:tcPr>
            <w:tcW w:w="90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2.1%</w:t>
            </w:r>
          </w:p>
        </w:tc>
        <w:tc>
          <w:tcPr>
            <w:tcW w:w="120" w:type="dxa"/>
            <w:vAlign w:val="bottom"/>
          </w:tcPr>
          <w:p>
            <w:pPr>
              <w:spacing w:after="0"/>
              <w:rPr>
                <w:sz w:val="12"/>
                <w:szCs w:val="12"/>
                <w:color w:val="auto"/>
              </w:rPr>
            </w:pPr>
          </w:p>
        </w:tc>
        <w:tc>
          <w:tcPr>
            <w:tcW w:w="78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27.0%</w:t>
            </w: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877,403</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1,091,653</w:t>
            </w:r>
          </w:p>
        </w:tc>
        <w:tc>
          <w:tcPr>
            <w:tcW w:w="9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149"/>
        </w:trPr>
        <w:tc>
          <w:tcPr>
            <w:tcW w:w="35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Interest on borrowed funds</w:t>
            </w: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148,565</w:t>
            </w: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152,832</w:t>
            </w: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151,221</w:t>
            </w:r>
          </w:p>
        </w:tc>
        <w:tc>
          <w:tcPr>
            <w:tcW w:w="90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1.8%</w:t>
            </w: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465,796</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449,356</w:t>
            </w:r>
          </w:p>
        </w:tc>
        <w:tc>
          <w:tcPr>
            <w:tcW w:w="9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35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Interest on bonds and subordinated notes</w:t>
            </w: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231,129</w:t>
            </w: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227,869</w:t>
            </w: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236,567</w:t>
            </w:r>
          </w:p>
        </w:tc>
        <w:tc>
          <w:tcPr>
            <w:tcW w:w="90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3.8%</w:t>
            </w:r>
          </w:p>
        </w:tc>
        <w:tc>
          <w:tcPr>
            <w:tcW w:w="120" w:type="dxa"/>
            <w:vAlign w:val="bottom"/>
          </w:tcPr>
          <w:p>
            <w:pPr>
              <w:spacing w:after="0"/>
              <w:rPr>
                <w:sz w:val="12"/>
                <w:szCs w:val="12"/>
                <w:color w:val="auto"/>
              </w:rPr>
            </w:pPr>
          </w:p>
        </w:tc>
        <w:tc>
          <w:tcPr>
            <w:tcW w:w="78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2.4%</w:t>
            </w: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677,773</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690,934</w:t>
            </w:r>
          </w:p>
        </w:tc>
        <w:tc>
          <w:tcPr>
            <w:tcW w:w="9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3"/>
        </w:trPr>
        <w:tc>
          <w:tcPr>
            <w:tcW w:w="35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4"/>
                <w:szCs w:val="14"/>
                <w:color w:val="auto"/>
              </w:rPr>
              <w:t xml:space="preserve">Other interest expense </w:t>
            </w:r>
            <w:r>
              <w:rPr>
                <w:rFonts w:ascii="Arial" w:cs="Arial" w:eastAsia="Arial" w:hAnsi="Arial"/>
                <w:sz w:val="23"/>
                <w:szCs w:val="23"/>
                <w:color w:val="auto"/>
                <w:vertAlign w:val="superscript"/>
              </w:rPr>
              <w:t>(1)</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74,987</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81,168</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85,678</w:t>
            </w:r>
          </w:p>
        </w:tc>
        <w:tc>
          <w:tcPr>
            <w:tcW w:w="90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5.6%</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14.3%</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223,266</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253,967</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spacing w:after="0" w:line="202" w:lineRule="exact"/>
              <w:rPr>
                <w:sz w:val="20"/>
                <w:szCs w:val="20"/>
                <w:color w:val="auto"/>
              </w:rPr>
            </w:pPr>
            <w:r>
              <w:rPr>
                <w:rFonts w:ascii="Arial" w:cs="Arial" w:eastAsia="Arial" w:hAnsi="Arial"/>
                <w:sz w:val="14"/>
                <w:szCs w:val="14"/>
                <w:b w:val="1"/>
                <w:bCs w:val="1"/>
                <w:color w:val="auto"/>
              </w:rPr>
              <w:t xml:space="preserve">Net interest income </w:t>
            </w:r>
            <w:r>
              <w:rPr>
                <w:rFonts w:ascii="Arial" w:cs="Arial" w:eastAsia="Arial" w:hAnsi="Arial"/>
                <w:sz w:val="23"/>
                <w:szCs w:val="23"/>
                <w:color w:val="auto"/>
                <w:vertAlign w:val="superscript"/>
              </w:rPr>
              <w:t>(1)</w:t>
            </w: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60" w:type="dxa"/>
            <w:vAlign w:val="bottom"/>
            <w:gridSpan w:val="2"/>
            <w:vMerge w:val="continue"/>
          </w:tcPr>
          <w:p>
            <w:pPr>
              <w:spacing w:after="0"/>
              <w:rPr>
                <w:sz w:val="15"/>
                <w:szCs w:val="15"/>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2,139,133</w:t>
            </w: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2,256,757</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2,277,384</w:t>
            </w:r>
          </w:p>
        </w:tc>
        <w:tc>
          <w:tcPr>
            <w:tcW w:w="320" w:type="dxa"/>
            <w:vAlign w:val="bottom"/>
          </w:tcPr>
          <w:p>
            <w:pPr>
              <w:spacing w:after="0"/>
              <w:rPr>
                <w:sz w:val="15"/>
                <w:szCs w:val="15"/>
                <w:color w:val="auto"/>
              </w:rPr>
            </w:pPr>
          </w:p>
        </w:tc>
        <w:tc>
          <w:tcPr>
            <w:tcW w:w="90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0.9%</w:t>
            </w:r>
          </w:p>
        </w:tc>
        <w:tc>
          <w:tcPr>
            <w:tcW w:w="120" w:type="dxa"/>
            <w:vAlign w:val="bottom"/>
          </w:tcPr>
          <w:p>
            <w:pPr>
              <w:spacing w:after="0"/>
              <w:rPr>
                <w:sz w:val="15"/>
                <w:szCs w:val="15"/>
                <w:color w:val="auto"/>
              </w:rPr>
            </w:pPr>
          </w:p>
        </w:tc>
        <w:tc>
          <w:tcPr>
            <w:tcW w:w="78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6.5%</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6,244,852</w:t>
            </w:r>
          </w:p>
        </w:tc>
        <w:tc>
          <w:tcPr>
            <w:tcW w:w="34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6,723,059</w:t>
            </w: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7.7%</w:t>
            </w:r>
          </w:p>
        </w:tc>
        <w:tc>
          <w:tcPr>
            <w:tcW w:w="0" w:type="dxa"/>
            <w:vAlign w:val="bottom"/>
          </w:tcPr>
          <w:p>
            <w:pPr>
              <w:spacing w:after="0"/>
              <w:rPr>
                <w:sz w:val="1"/>
                <w:szCs w:val="1"/>
                <w:color w:val="auto"/>
              </w:rPr>
            </w:pPr>
          </w:p>
        </w:tc>
      </w:tr>
      <w:tr>
        <w:trPr>
          <w:trHeight w:val="20"/>
        </w:trPr>
        <w:tc>
          <w:tcPr>
            <w:tcW w:w="3560" w:type="dxa"/>
            <w:vAlign w:val="bottom"/>
            <w:gridSpan w:val="2"/>
            <w:vMerge w:val="restart"/>
            <w:shd w:val="clear" w:color="auto" w:fill="CCEEFF"/>
          </w:tcPr>
          <w:p>
            <w:pPr>
              <w:spacing w:after="0" w:line="202" w:lineRule="exact"/>
              <w:rPr>
                <w:sz w:val="20"/>
                <w:szCs w:val="20"/>
                <w:color w:val="auto"/>
              </w:rPr>
            </w:pPr>
            <w:r>
              <w:rPr>
                <w:rFonts w:ascii="Arial" w:cs="Arial" w:eastAsia="Arial" w:hAnsi="Arial"/>
                <w:sz w:val="14"/>
                <w:szCs w:val="14"/>
                <w:b w:val="1"/>
                <w:bCs w:val="1"/>
                <w:color w:val="auto"/>
              </w:rPr>
              <w:t xml:space="preserve">Risk-adjusted Net interest income </w:t>
            </w:r>
            <w:r>
              <w:rPr>
                <w:rFonts w:ascii="Arial" w:cs="Arial" w:eastAsia="Arial" w:hAnsi="Arial"/>
                <w:sz w:val="23"/>
                <w:szCs w:val="23"/>
                <w:color w:val="auto"/>
                <w:vertAlign w:val="superscript"/>
              </w:rPr>
              <w:t>(1)</w:t>
            </w:r>
          </w:p>
        </w:tc>
        <w:tc>
          <w:tcPr>
            <w:tcW w:w="7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60" w:type="dxa"/>
            <w:vAlign w:val="bottom"/>
            <w:gridSpan w:val="2"/>
            <w:vMerge w:val="continue"/>
            <w:shd w:val="clear" w:color="auto" w:fill="CCEEFF"/>
          </w:tcPr>
          <w:p>
            <w:pPr>
              <w:spacing w:after="0"/>
              <w:rPr>
                <w:sz w:val="15"/>
                <w:szCs w:val="15"/>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b w:val="1"/>
                <w:bCs w:val="1"/>
                <w:color w:val="auto"/>
              </w:rPr>
              <w:t>1,699,575</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b w:val="1"/>
                <w:bCs w:val="1"/>
                <w:color w:val="auto"/>
              </w:rPr>
              <w:t>1,808,463</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1,774,612</w:t>
            </w:r>
          </w:p>
        </w:tc>
        <w:tc>
          <w:tcPr>
            <w:tcW w:w="3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-1.9%</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4.4%</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5,121,098</w:t>
            </w:r>
          </w:p>
        </w:tc>
        <w:tc>
          <w:tcPr>
            <w:tcW w:w="3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5,388,782</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5.2%</w:t>
            </w:r>
          </w:p>
        </w:tc>
        <w:tc>
          <w:tcPr>
            <w:tcW w:w="0" w:type="dxa"/>
            <w:vAlign w:val="bottom"/>
          </w:tcPr>
          <w:p>
            <w:pPr>
              <w:spacing w:after="0"/>
              <w:rPr>
                <w:sz w:val="1"/>
                <w:szCs w:val="1"/>
                <w:color w:val="auto"/>
              </w:rPr>
            </w:pPr>
          </w:p>
        </w:tc>
      </w:tr>
      <w:tr>
        <w:trPr>
          <w:trHeight w:val="142"/>
        </w:trPr>
        <w:tc>
          <w:tcPr>
            <w:tcW w:w="356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color w:val="auto"/>
              </w:rPr>
              <w:t>Average interest earning assets</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154,824,731</w:t>
            </w:r>
          </w:p>
        </w:tc>
        <w:tc>
          <w:tcPr>
            <w:tcW w:w="32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164,668,086</w:t>
            </w:r>
          </w:p>
        </w:tc>
        <w:tc>
          <w:tcPr>
            <w:tcW w:w="32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168,631,427</w:t>
            </w:r>
          </w:p>
        </w:tc>
        <w:tc>
          <w:tcPr>
            <w:tcW w:w="3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w:t>
            </w:r>
          </w:p>
        </w:tc>
        <w:tc>
          <w:tcPr>
            <w:tcW w:w="320" w:type="dxa"/>
            <w:vAlign w:val="bottom"/>
            <w:tcBorders>
              <w:bottom w:val="single" w:sz="8" w:color="CCEEFF"/>
            </w:tcBorders>
          </w:tcPr>
          <w:p>
            <w:pPr>
              <w:jc w:val="right"/>
              <w:ind w:right="128"/>
              <w:spacing w:after="0" w:line="142" w:lineRule="exact"/>
              <w:rPr>
                <w:sz w:val="20"/>
                <w:szCs w:val="20"/>
                <w:color w:val="auto"/>
              </w:rPr>
            </w:pPr>
            <w:r>
              <w:rPr>
                <w:rFonts w:ascii="Arial" w:cs="Arial" w:eastAsia="Arial" w:hAnsi="Arial"/>
                <w:sz w:val="14"/>
                <w:szCs w:val="14"/>
                <w:color w:val="auto"/>
                <w:w w:val="79"/>
              </w:rPr>
              <w:t>%</w:t>
            </w: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8.9</w:t>
            </w:r>
          </w:p>
        </w:tc>
        <w:tc>
          <w:tcPr>
            <w:tcW w:w="320" w:type="dxa"/>
            <w:vAlign w:val="bottom"/>
            <w:tcBorders>
              <w:bottom w:val="single" w:sz="8" w:color="CCEEFF"/>
            </w:tcBorders>
          </w:tcPr>
          <w:p>
            <w:pPr>
              <w:jc w:val="right"/>
              <w:ind w:right="128"/>
              <w:spacing w:after="0" w:line="142" w:lineRule="exact"/>
              <w:rPr>
                <w:sz w:val="20"/>
                <w:szCs w:val="20"/>
                <w:color w:val="auto"/>
              </w:rPr>
            </w:pPr>
            <w:r>
              <w:rPr>
                <w:rFonts w:ascii="Arial" w:cs="Arial" w:eastAsia="Arial" w:hAnsi="Arial"/>
                <w:sz w:val="14"/>
                <w:szCs w:val="14"/>
                <w:color w:val="auto"/>
                <w:w w:val="79"/>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2"/>
              </w:rPr>
              <w:t>156,895,533</w:t>
            </w:r>
          </w:p>
        </w:tc>
        <w:tc>
          <w:tcPr>
            <w:tcW w:w="34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166,952,088</w:t>
            </w: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6.4</w:t>
            </w:r>
          </w:p>
        </w:tc>
        <w:tc>
          <w:tcPr>
            <w:tcW w:w="14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69"/>
        </w:trPr>
        <w:tc>
          <w:tcPr>
            <w:tcW w:w="3560" w:type="dxa"/>
            <w:vAlign w:val="bottom"/>
            <w:gridSpan w:val="2"/>
            <w:shd w:val="clear" w:color="auto" w:fill="CCEEFF"/>
          </w:tcPr>
          <w:p>
            <w:pPr>
              <w:spacing w:after="0" w:line="169" w:lineRule="exact"/>
              <w:rPr>
                <w:sz w:val="20"/>
                <w:szCs w:val="20"/>
                <w:color w:val="auto"/>
              </w:rPr>
            </w:pPr>
            <w:r>
              <w:rPr>
                <w:rFonts w:ascii="Arial" w:cs="Arial" w:eastAsia="Arial" w:hAnsi="Arial"/>
                <w:sz w:val="12"/>
                <w:szCs w:val="12"/>
                <w:b w:val="1"/>
                <w:bCs w:val="1"/>
                <w:color w:val="auto"/>
              </w:rPr>
              <w:t xml:space="preserve">Net interest margin </w:t>
            </w:r>
            <w:r>
              <w:rPr>
                <w:rFonts w:ascii="Arial" w:cs="Arial" w:eastAsia="Arial" w:hAnsi="Arial"/>
                <w:sz w:val="19"/>
                <w:szCs w:val="19"/>
                <w:color w:val="auto"/>
                <w:vertAlign w:val="superscript"/>
              </w:rPr>
              <w:t>(1)(2)</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5.53%</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5.48%</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5.40%</w:t>
            </w:r>
          </w:p>
        </w:tc>
        <w:tc>
          <w:tcPr>
            <w:tcW w:w="102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b w:val="1"/>
                <w:bCs w:val="1"/>
                <w:color w:val="auto"/>
              </w:rPr>
              <w:t>-8bps</w:t>
            </w:r>
          </w:p>
        </w:tc>
        <w:tc>
          <w:tcPr>
            <w:tcW w:w="78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b w:val="1"/>
                <w:bCs w:val="1"/>
                <w:color w:val="auto"/>
                <w:w w:val="97"/>
              </w:rPr>
              <w:t>-13bps</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5.31%</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5.37%</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6bps</w:t>
            </w:r>
          </w:p>
        </w:tc>
        <w:tc>
          <w:tcPr>
            <w:tcW w:w="0" w:type="dxa"/>
            <w:vAlign w:val="bottom"/>
          </w:tcPr>
          <w:p>
            <w:pPr>
              <w:spacing w:after="0"/>
              <w:rPr>
                <w:sz w:val="1"/>
                <w:szCs w:val="1"/>
                <w:color w:val="auto"/>
              </w:rPr>
            </w:pPr>
          </w:p>
        </w:tc>
      </w:tr>
      <w:tr>
        <w:trPr>
          <w:trHeight w:val="189"/>
        </w:trPr>
        <w:tc>
          <w:tcPr>
            <w:tcW w:w="3560" w:type="dxa"/>
            <w:vAlign w:val="bottom"/>
            <w:gridSpan w:val="2"/>
          </w:tcPr>
          <w:p>
            <w:pPr>
              <w:spacing w:after="0" w:line="189" w:lineRule="exact"/>
              <w:rPr>
                <w:sz w:val="20"/>
                <w:szCs w:val="20"/>
                <w:color w:val="auto"/>
              </w:rPr>
            </w:pPr>
            <w:r>
              <w:rPr>
                <w:rFonts w:ascii="Arial" w:cs="Arial" w:eastAsia="Arial" w:hAnsi="Arial"/>
                <w:sz w:val="13"/>
                <w:szCs w:val="13"/>
                <w:b w:val="1"/>
                <w:bCs w:val="1"/>
                <w:color w:val="auto"/>
              </w:rPr>
              <w:t xml:space="preserve">NIM on loans </w:t>
            </w:r>
            <w:r>
              <w:rPr>
                <w:rFonts w:ascii="Arial" w:cs="Arial" w:eastAsia="Arial" w:hAnsi="Arial"/>
                <w:sz w:val="21"/>
                <w:szCs w:val="21"/>
                <w:color w:val="auto"/>
                <w:vertAlign w:val="superscript"/>
              </w:rPr>
              <w:t>(1)(2)</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7.84%</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7.66%</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7.74%</w:t>
            </w:r>
          </w:p>
        </w:tc>
        <w:tc>
          <w:tcPr>
            <w:tcW w:w="10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8bps</w:t>
            </w:r>
          </w:p>
        </w:tc>
        <w:tc>
          <w:tcPr>
            <w:tcW w:w="78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w w:val="97"/>
              </w:rPr>
              <w:t>-10bps</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7.72%</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7.46%</w:t>
            </w:r>
          </w:p>
        </w:tc>
        <w:tc>
          <w:tcPr>
            <w:tcW w:w="120" w:type="dxa"/>
            <w:vAlign w:val="bottom"/>
          </w:tcPr>
          <w:p>
            <w:pPr>
              <w:spacing w:after="0"/>
              <w:rPr>
                <w:sz w:val="16"/>
                <w:szCs w:val="16"/>
                <w:color w:val="auto"/>
              </w:rPr>
            </w:pPr>
          </w:p>
        </w:tc>
        <w:tc>
          <w:tcPr>
            <w:tcW w:w="78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-26bps</w:t>
            </w:r>
          </w:p>
        </w:tc>
        <w:tc>
          <w:tcPr>
            <w:tcW w:w="0" w:type="dxa"/>
            <w:vAlign w:val="bottom"/>
          </w:tcPr>
          <w:p>
            <w:pPr>
              <w:spacing w:after="0"/>
              <w:rPr>
                <w:sz w:val="1"/>
                <w:szCs w:val="1"/>
                <w:color w:val="auto"/>
              </w:rPr>
            </w:pPr>
          </w:p>
        </w:tc>
      </w:tr>
      <w:tr>
        <w:trPr>
          <w:trHeight w:val="189"/>
        </w:trPr>
        <w:tc>
          <w:tcPr>
            <w:tcW w:w="356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b w:val="1"/>
                <w:bCs w:val="1"/>
                <w:color w:val="auto"/>
              </w:rPr>
              <w:t xml:space="preserve">Risk-adjusted Net interest margin </w:t>
            </w:r>
            <w:r>
              <w:rPr>
                <w:rFonts w:ascii="Arial" w:cs="Arial" w:eastAsia="Arial" w:hAnsi="Arial"/>
                <w:sz w:val="21"/>
                <w:szCs w:val="21"/>
                <w:color w:val="auto"/>
                <w:vertAlign w:val="superscript"/>
              </w:rPr>
              <w:t>(1)(2)</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4.39%</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4.39%</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4.21%</w:t>
            </w:r>
          </w:p>
        </w:tc>
        <w:tc>
          <w:tcPr>
            <w:tcW w:w="102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b w:val="1"/>
                <w:bCs w:val="1"/>
                <w:color w:val="auto"/>
              </w:rPr>
              <w:t>-18bps</w:t>
            </w:r>
          </w:p>
        </w:tc>
        <w:tc>
          <w:tcPr>
            <w:tcW w:w="78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b w:val="1"/>
                <w:bCs w:val="1"/>
                <w:color w:val="auto"/>
                <w:w w:val="97"/>
              </w:rPr>
              <w:t>-18bps</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4.35%</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4.30%</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-5bps</w:t>
            </w:r>
          </w:p>
        </w:tc>
        <w:tc>
          <w:tcPr>
            <w:tcW w:w="0" w:type="dxa"/>
            <w:vAlign w:val="bottom"/>
          </w:tcPr>
          <w:p>
            <w:pPr>
              <w:spacing w:after="0"/>
              <w:rPr>
                <w:sz w:val="1"/>
                <w:szCs w:val="1"/>
                <w:color w:val="auto"/>
              </w:rPr>
            </w:pPr>
          </w:p>
        </w:tc>
      </w:tr>
      <w:tr>
        <w:trPr>
          <w:trHeight w:val="313"/>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w w:val="92"/>
              </w:rPr>
              <w:t xml:space="preserve">Net provisions for loan losses / Net interest income </w:t>
            </w:r>
            <w:r>
              <w:rPr>
                <w:rFonts w:ascii="Arial" w:cs="Arial" w:eastAsia="Arial" w:hAnsi="Arial"/>
                <w:sz w:val="23"/>
                <w:szCs w:val="23"/>
                <w:color w:val="auto"/>
                <w:w w:val="92"/>
                <w:vertAlign w:val="superscript"/>
              </w:rPr>
              <w:t>(1)(2)</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20.55%</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19.86%</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22.08%</w:t>
            </w:r>
          </w:p>
        </w:tc>
        <w:tc>
          <w:tcPr>
            <w:tcW w:w="10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222bps</w:t>
            </w:r>
          </w:p>
        </w:tc>
        <w:tc>
          <w:tcPr>
            <w:tcW w:w="78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w w:val="91"/>
              </w:rPr>
              <w:t>153bps</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17.99%</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19.85%</w:t>
            </w:r>
          </w:p>
        </w:tc>
        <w:tc>
          <w:tcPr>
            <w:tcW w:w="120" w:type="dxa"/>
            <w:vAlign w:val="bottom"/>
          </w:tcPr>
          <w:p>
            <w:pPr>
              <w:spacing w:after="0"/>
              <w:rPr>
                <w:sz w:val="24"/>
                <w:szCs w:val="24"/>
                <w:color w:val="auto"/>
              </w:rPr>
            </w:pPr>
          </w:p>
        </w:tc>
        <w:tc>
          <w:tcPr>
            <w:tcW w:w="78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186bps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18097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98" w:lineRule="exact"/>
        <w:rPr>
          <w:sz w:val="20"/>
          <w:szCs w:val="20"/>
          <w:color w:val="auto"/>
        </w:rPr>
      </w:pPr>
    </w:p>
    <w:p>
      <w:pPr>
        <w:ind w:left="260" w:hanging="252"/>
        <w:spacing w:after="0"/>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Annualized.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 Interest Income</w:t>
      </w:r>
    </w:p>
    <w:p>
      <w:pPr>
        <w:sectPr>
          <w:pgSz w:w="11900" w:h="16838" w:orient="portrait"/>
          <w:cols w:equalWidth="0" w:num="1">
            <w:col w:w="11420"/>
          </w:cols>
          <w:pgMar w:left="240" w:top="1121" w:right="239" w:bottom="1440" w:gutter="0" w:footer="0" w:header="0"/>
        </w:sectPr>
      </w:pP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6"/>
          <w:szCs w:val="16"/>
          <w:b w:val="1"/>
          <w:bCs w:val="1"/>
          <w:color w:val="auto"/>
        </w:rPr>
        <w:t>Interest Income - LC</w:t>
      </w:r>
    </w:p>
    <w:p>
      <w:pPr>
        <w:spacing w:after="0" w:line="50"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142875</wp:posOffset>
            </wp:positionV>
            <wp:extent cx="6646545" cy="25641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46545" cy="2564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2560"/>
        <w:spacing w:after="0"/>
        <w:rPr>
          <w:sz w:val="20"/>
          <w:szCs w:val="20"/>
          <w:color w:val="auto"/>
        </w:rPr>
      </w:pPr>
      <w:r>
        <w:rPr>
          <w:rFonts w:ascii="Arial" w:cs="Arial" w:eastAsia="Arial" w:hAnsi="Arial"/>
          <w:sz w:val="16"/>
          <w:szCs w:val="16"/>
          <w:b w:val="1"/>
          <w:bCs w:val="1"/>
          <w:color w:val="auto"/>
        </w:rPr>
        <w:t>Interest Income – FC</w:t>
      </w:r>
    </w:p>
    <w:p>
      <w:pPr>
        <w:spacing w:after="0" w:line="50" w:lineRule="exact"/>
        <w:rPr>
          <w:sz w:val="20"/>
          <w:szCs w:val="20"/>
          <w:color w:val="auto"/>
        </w:rPr>
      </w:pPr>
    </w:p>
    <w:p>
      <w:pPr>
        <w:jc w:val="center"/>
        <w:ind w:right="2560"/>
        <w:spacing w:after="0"/>
        <w:rPr>
          <w:sz w:val="20"/>
          <w:szCs w:val="20"/>
          <w:color w:val="auto"/>
        </w:rPr>
      </w:pPr>
      <w:r>
        <w:rPr>
          <w:rFonts w:ascii="Arial" w:cs="Arial" w:eastAsia="Arial" w:hAnsi="Arial"/>
          <w:sz w:val="18"/>
          <w:szCs w:val="18"/>
          <w:color w:val="auto"/>
        </w:rPr>
        <w:t>(S/ millions)</w:t>
      </w:r>
    </w:p>
    <w:p>
      <w:pPr>
        <w:spacing w:after="0" w:line="200" w:lineRule="exact"/>
        <w:rPr>
          <w:sz w:val="20"/>
          <w:szCs w:val="20"/>
          <w:color w:val="auto"/>
        </w:rPr>
      </w:pPr>
    </w:p>
    <w:p>
      <w:pPr>
        <w:sectPr>
          <w:pgSz w:w="11900" w:h="16838" w:orient="portrait"/>
          <w:cols w:equalWidth="0" w:num="2">
            <w:col w:w="6500" w:space="720"/>
            <w:col w:w="4200"/>
          </w:cols>
          <w:pgMar w:left="240" w:top="1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color w:val="auto"/>
        </w:rPr>
        <w:t>In the QoQ analysis, the increase of +1.3% in Interest Income was due primarily to growth in interest income on loans, which was in turn attributable to:</w:t>
      </w:r>
    </w:p>
    <w:p>
      <w:pPr>
        <w:spacing w:after="0" w:line="237" w:lineRule="exact"/>
        <w:rPr>
          <w:sz w:val="20"/>
          <w:szCs w:val="20"/>
          <w:color w:val="auto"/>
        </w:rPr>
      </w:pPr>
    </w:p>
    <w:p>
      <w:pPr>
        <w:ind w:left="880" w:hanging="49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Slight acceleration in the growth of average daily loan balances (+2.1% QoQ), which was led by Retail Banking.</w:t>
      </w:r>
    </w:p>
    <w:p>
      <w:pPr>
        <w:spacing w:after="0" w:line="225" w:lineRule="exact"/>
        <w:rPr>
          <w:rFonts w:ascii="Arial" w:cs="Arial" w:eastAsia="Arial" w:hAnsi="Arial"/>
          <w:sz w:val="18"/>
          <w:szCs w:val="18"/>
          <w:color w:val="auto"/>
        </w:rPr>
      </w:pPr>
    </w:p>
    <w:p>
      <w:pPr>
        <w:jc w:val="both"/>
        <w:ind w:left="880" w:hanging="494"/>
        <w:spacing w:after="0" w:line="286" w:lineRule="auto"/>
        <w:tabs>
          <w:tab w:leader="none" w:pos="8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mix by segment given that although Wholesale Banking continues to represent the highest share of total loans with 41.6%, Retail Banking has increased its share of total loans, going from 40.0% in 2Q19 to 40.5% in 3Q19. Additionally, although mortgage loans continue to lead growth in volumes, segments with higher margins, such as consumer and SME-Pyme, have also registered significant increases.</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type w:val="continuous"/>
        </w:sectPr>
      </w:pPr>
    </w:p>
    <w:bookmarkStart w:id="28" w:name="page29"/>
    <w:bookmarkEnd w:id="28"/>
    <w:p>
      <w:pPr>
        <w:ind w:left="880" w:hanging="494"/>
        <w:spacing w:after="0" w:line="277"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currency mix given that a larger portion of loan expansion was generated by LC products, which offer better margins than their FC counterparts. The effect of the currency mix also favored growth in interest income on loans.</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 analysis</w:t>
      </w:r>
      <w:r>
        <w:rPr>
          <w:rFonts w:ascii="Arial" w:cs="Arial" w:eastAsia="Arial" w:hAnsi="Arial"/>
          <w:sz w:val="18"/>
          <w:szCs w:val="18"/>
          <w:color w:val="auto"/>
        </w:rPr>
        <w:t>, interest income expanded +8.2%, which represented a slower pace of growth than that registered in 2Q19. Growth in net interest income was mainly attributable to an increase in interest income from loans (+6.4%).</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YTD</w:t>
      </w:r>
      <w:r>
        <w:rPr>
          <w:rFonts w:ascii="Arial" w:cs="Arial" w:eastAsia="Arial" w:hAnsi="Arial"/>
          <w:sz w:val="18"/>
          <w:szCs w:val="18"/>
          <w:color w:val="auto"/>
        </w:rPr>
        <w:t>, interest income rose +8.5%, which was due primarily to an increase in income from interest on loans, which was in turn attributable to:</w:t>
      </w:r>
    </w:p>
    <w:p>
      <w:pPr>
        <w:spacing w:after="0" w:line="229" w:lineRule="exact"/>
        <w:rPr>
          <w:sz w:val="20"/>
          <w:szCs w:val="20"/>
          <w:color w:val="auto"/>
        </w:rPr>
      </w:pPr>
    </w:p>
    <w:p>
      <w:pPr>
        <w:jc w:val="both"/>
        <w:ind w:left="880" w:hanging="494"/>
        <w:spacing w:after="0" w:line="264"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volume effect due to an uptick in the growth of average daily balances in all segments with the exception of ASB, which translates into total loan growth of +7.1%. This increase was driven mainly by Retail Banking, which registered a +12.3% increase in average daily loan balances YoY.</w:t>
      </w:r>
    </w:p>
    <w:p>
      <w:pPr>
        <w:spacing w:after="0" w:line="181" w:lineRule="exact"/>
        <w:rPr>
          <w:rFonts w:ascii="Arial" w:cs="Arial" w:eastAsia="Arial" w:hAnsi="Arial"/>
          <w:sz w:val="18"/>
          <w:szCs w:val="18"/>
          <w:color w:val="auto"/>
        </w:rPr>
      </w:pPr>
    </w:p>
    <w:p>
      <w:pPr>
        <w:ind w:left="880" w:hanging="494"/>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mix by segment as Retail Banking represented 40.5% of total loans versus 38.7% in 3Q18.</w:t>
      </w:r>
    </w:p>
    <w:p>
      <w:pPr>
        <w:spacing w:after="0" w:line="225" w:lineRule="exact"/>
        <w:rPr>
          <w:rFonts w:ascii="Arial" w:cs="Arial" w:eastAsia="Arial" w:hAnsi="Arial"/>
          <w:sz w:val="18"/>
          <w:szCs w:val="18"/>
          <w:color w:val="auto"/>
        </w:rPr>
      </w:pPr>
    </w:p>
    <w:p>
      <w:pPr>
        <w:ind w:left="880" w:hanging="494"/>
        <w:spacing w:after="0" w:line="277"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currency mix was also favorable, given that the expansions reported in average daily balances was mainly attributable to growth in the LC portfolio of +15.9% YoY.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 a lesser extent, interest income increased due to:</w:t>
      </w:r>
    </w:p>
    <w:p>
      <w:pPr>
        <w:spacing w:after="0" w:line="225" w:lineRule="exact"/>
        <w:rPr>
          <w:sz w:val="20"/>
          <w:szCs w:val="20"/>
          <w:color w:val="auto"/>
        </w:rPr>
      </w:pPr>
    </w:p>
    <w:p>
      <w:pPr>
        <w:ind w:left="880" w:right="20" w:hanging="494"/>
        <w:spacing w:after="0" w:line="308" w:lineRule="auto"/>
        <w:tabs>
          <w:tab w:leader="none" w:pos="8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Growth in interest on deposits in other banks, which reflects an increase in the volume of BCRP funds. It is important to note that the majority of funds held in BCRP are in FC because the reserve requirement for FC is significantly higher than that required for LC.</w:t>
      </w:r>
    </w:p>
    <w:p>
      <w:pPr>
        <w:spacing w:after="0" w:line="146" w:lineRule="exact"/>
        <w:rPr>
          <w:rFonts w:ascii="Arial" w:cs="Arial" w:eastAsia="Arial" w:hAnsi="Arial"/>
          <w:sz w:val="17"/>
          <w:szCs w:val="17"/>
          <w:color w:val="auto"/>
        </w:rPr>
      </w:pPr>
    </w:p>
    <w:p>
      <w:pPr>
        <w:jc w:val="both"/>
        <w:ind w:left="880" w:hanging="494"/>
        <w:spacing w:after="0" w:line="264"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increase in interest on securities, which corresponds to growth of 13.9% YoY in the fair value through other comprehensive income investments portfolio. Portfolio growth at the Credicorp level was attributable to expansion in the portfolios of BCP Stand-alone and Pacifico, which grew 28% and 16%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 Interest Expenses</w:t>
      </w:r>
    </w:p>
    <w:p>
      <w:pPr>
        <w:sectPr>
          <w:pgSz w:w="11900" w:h="16838" w:orient="portrait"/>
          <w:cols w:equalWidth="0" w:num="1">
            <w:col w:w="11420"/>
          </w:cols>
          <w:pgMar w:left="240" w:top="908" w:right="239" w:bottom="1440" w:gutter="0" w:footer="0" w:header="0"/>
        </w:sectPr>
      </w:pPr>
    </w:p>
    <w:p>
      <w:pPr>
        <w:spacing w:after="0" w:line="225" w:lineRule="exact"/>
        <w:rPr>
          <w:sz w:val="20"/>
          <w:szCs w:val="20"/>
          <w:color w:val="auto"/>
        </w:rPr>
      </w:pPr>
    </w:p>
    <w:p>
      <w:pPr>
        <w:jc w:val="center"/>
        <w:ind w:left="320"/>
        <w:spacing w:after="0"/>
        <w:rPr>
          <w:sz w:val="20"/>
          <w:szCs w:val="20"/>
          <w:color w:val="auto"/>
        </w:rPr>
      </w:pPr>
      <w:r>
        <w:rPr>
          <w:rFonts w:ascii="Arial" w:cs="Arial" w:eastAsia="Arial" w:hAnsi="Arial"/>
          <w:sz w:val="16"/>
          <w:szCs w:val="16"/>
          <w:b w:val="1"/>
          <w:bCs w:val="1"/>
          <w:color w:val="auto"/>
        </w:rPr>
        <w:t>Interest Expenses - LC</w:t>
      </w:r>
    </w:p>
    <w:p>
      <w:pPr>
        <w:spacing w:after="0" w:line="50"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142875</wp:posOffset>
            </wp:positionV>
            <wp:extent cx="6525895" cy="20923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25895" cy="20923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2500"/>
        <w:spacing w:after="0"/>
        <w:rPr>
          <w:sz w:val="20"/>
          <w:szCs w:val="20"/>
          <w:color w:val="auto"/>
        </w:rPr>
      </w:pPr>
      <w:r>
        <w:rPr>
          <w:rFonts w:ascii="Arial" w:cs="Arial" w:eastAsia="Arial" w:hAnsi="Arial"/>
          <w:sz w:val="16"/>
          <w:szCs w:val="16"/>
          <w:b w:val="1"/>
          <w:bCs w:val="1"/>
          <w:color w:val="auto"/>
        </w:rPr>
        <w:t>Interest Expenses - FC</w:t>
      </w:r>
    </w:p>
    <w:p>
      <w:pPr>
        <w:spacing w:after="0" w:line="50" w:lineRule="exact"/>
        <w:rPr>
          <w:sz w:val="20"/>
          <w:szCs w:val="20"/>
          <w:color w:val="auto"/>
        </w:rPr>
      </w:pPr>
    </w:p>
    <w:p>
      <w:pPr>
        <w:jc w:val="center"/>
        <w:ind w:right="2500"/>
        <w:spacing w:after="0"/>
        <w:rPr>
          <w:sz w:val="20"/>
          <w:szCs w:val="20"/>
          <w:color w:val="auto"/>
        </w:rPr>
      </w:pPr>
      <w:r>
        <w:rPr>
          <w:rFonts w:ascii="Arial" w:cs="Arial" w:eastAsia="Arial" w:hAnsi="Arial"/>
          <w:sz w:val="18"/>
          <w:szCs w:val="18"/>
          <w:color w:val="auto"/>
        </w:rPr>
        <w:t>(S/ millions)</w:t>
      </w:r>
    </w:p>
    <w:p>
      <w:pPr>
        <w:spacing w:after="0" w:line="200" w:lineRule="exact"/>
        <w:rPr>
          <w:sz w:val="20"/>
          <w:szCs w:val="20"/>
          <w:color w:val="auto"/>
        </w:rPr>
      </w:pPr>
    </w:p>
    <w:p>
      <w:pPr>
        <w:sectPr>
          <w:pgSz w:w="11900" w:h="16838" w:orient="portrait"/>
          <w:cols w:equalWidth="0" w:num="2">
            <w:col w:w="6460" w:space="720"/>
            <w:col w:w="4240"/>
          </w:cols>
          <w:pgMar w:left="240" w:top="90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b w:val="1"/>
          <w:bCs w:val="1"/>
          <w:color w:val="auto"/>
        </w:rPr>
        <w:t>the QoQ analysis,</w:t>
      </w:r>
      <w:r>
        <w:rPr>
          <w:rFonts w:ascii="Arial" w:cs="Arial" w:eastAsia="Arial" w:hAnsi="Arial"/>
          <w:sz w:val="18"/>
          <w:szCs w:val="18"/>
          <w:color w:val="auto"/>
        </w:rPr>
        <w:t xml:space="preserve"> interest expenses increased +2.3%, which was attributable firstly to bonds and subordinated notes and secondly, to the increase in interest expenses on deposits.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Growth of 3.8% in expenses for bonds and subordinated notes was attributable to liability management of corporate bonds issued by BCP Stand-alone in the third quarter of the year, both in local and foreign currency, which allowed to extend the maturity and at the same time reduce the interest rates of both issuances with maturity at 2020. Additionally, due to higher demand, “new money” was raised for both corporate bonds and the nominal amounts were increased by 900 million for LC and 275 million in FC.</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color w:val="auto"/>
        </w:rPr>
        <w:t>The factors that explain the 2.1% increase in interest expenses on deposits QoQ are:</w:t>
      </w:r>
    </w:p>
    <w:p>
      <w:pPr>
        <w:spacing w:after="0" w:line="225" w:lineRule="exact"/>
        <w:rPr>
          <w:sz w:val="20"/>
          <w:szCs w:val="20"/>
          <w:color w:val="auto"/>
        </w:rPr>
      </w:pPr>
    </w:p>
    <w:p>
      <w:pPr>
        <w:ind w:left="880" w:hanging="49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volume effect given that the total deposit balance grew 4.1% QoQ.</w:t>
      </w:r>
    </w:p>
    <w:p>
      <w:pPr>
        <w:spacing w:after="0" w:line="225" w:lineRule="exact"/>
        <w:rPr>
          <w:rFonts w:ascii="Arial" w:cs="Arial" w:eastAsia="Arial" w:hAnsi="Arial"/>
          <w:sz w:val="18"/>
          <w:szCs w:val="18"/>
          <w:color w:val="auto"/>
        </w:rPr>
      </w:pPr>
    </w:p>
    <w:p>
      <w:pPr>
        <w:ind w:left="880" w:hanging="494"/>
        <w:spacing w:after="0" w:line="277"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deposit mix given that the corresponding increase was mainly due to growth in balances for interest-bearing deposits, specifically savings deposits (+3.3%) and time deposits (+2.2%).</w:t>
      </w:r>
    </w:p>
    <w:p>
      <w:pPr>
        <w:spacing w:after="0" w:line="170" w:lineRule="exact"/>
        <w:rPr>
          <w:rFonts w:ascii="Arial" w:cs="Arial" w:eastAsia="Arial" w:hAnsi="Arial"/>
          <w:sz w:val="18"/>
          <w:szCs w:val="18"/>
          <w:color w:val="auto"/>
        </w:rPr>
      </w:pPr>
    </w:p>
    <w:p>
      <w:pPr>
        <w:ind w:left="880" w:hanging="494"/>
        <w:spacing w:after="0" w:line="277"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effect of the currency mix given that the increase in the deposit volume was generated by LC deposits, which pay higher rates than FC deposits.</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 analysis</w:t>
      </w:r>
      <w:r>
        <w:rPr>
          <w:rFonts w:ascii="Arial" w:cs="Arial" w:eastAsia="Arial" w:hAnsi="Arial"/>
          <w:sz w:val="18"/>
          <w:szCs w:val="18"/>
          <w:color w:val="auto"/>
        </w:rPr>
        <w:t>, interest expenses grew +13.1%. Growth in this component was mainly driven by the +27% YoY expansion registered for interest expenses on deposits.</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YTD, </w:t>
      </w:r>
      <w:r>
        <w:rPr>
          <w:rFonts w:ascii="Arial" w:cs="Arial" w:eastAsia="Arial" w:hAnsi="Arial"/>
          <w:sz w:val="18"/>
          <w:szCs w:val="18"/>
          <w:color w:val="auto"/>
        </w:rPr>
        <w:t>interest expenses grew +10.8%. This growth was primarily attributable to the +24.4% expansion in interest income on deposits, which was in turn due</w:t>
      </w:r>
      <w:r>
        <w:rPr>
          <w:rFonts w:ascii="Arial" w:cs="Arial" w:eastAsia="Arial" w:hAnsi="Arial"/>
          <w:sz w:val="18"/>
          <w:szCs w:val="18"/>
          <w:b w:val="1"/>
          <w:bCs w:val="1"/>
          <w:color w:val="auto"/>
        </w:rPr>
        <w:t xml:space="preserve"> </w:t>
      </w:r>
      <w:r>
        <w:rPr>
          <w:rFonts w:ascii="Arial" w:cs="Arial" w:eastAsia="Arial" w:hAnsi="Arial"/>
          <w:sz w:val="18"/>
          <w:szCs w:val="18"/>
          <w:color w:val="auto"/>
        </w:rPr>
        <w:t>to:</w:t>
      </w:r>
    </w:p>
    <w:p>
      <w:pPr>
        <w:spacing w:after="0" w:line="166" w:lineRule="exact"/>
        <w:rPr>
          <w:sz w:val="20"/>
          <w:szCs w:val="20"/>
          <w:color w:val="auto"/>
        </w:rPr>
      </w:pPr>
    </w:p>
    <w:p>
      <w:pPr>
        <w:ind w:left="880" w:hanging="49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volume effect given that all deposit types increased YoY.</w:t>
      </w:r>
    </w:p>
    <w:p>
      <w:pPr>
        <w:spacing w:after="0" w:line="225" w:lineRule="exact"/>
        <w:rPr>
          <w:rFonts w:ascii="Arial" w:cs="Arial" w:eastAsia="Arial" w:hAnsi="Arial"/>
          <w:sz w:val="18"/>
          <w:szCs w:val="18"/>
          <w:color w:val="auto"/>
        </w:rPr>
      </w:pPr>
    </w:p>
    <w:p>
      <w:pPr>
        <w:ind w:left="880" w:right="20" w:hanging="494"/>
        <w:spacing w:after="0" w:line="277"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effect of the deposit mix given that the deposits that posted the highest increases in volume were savings deposits (+10.8%) followed by time deposits (+10%).</w:t>
      </w:r>
    </w:p>
    <w:p>
      <w:pPr>
        <w:spacing w:after="0" w:line="170" w:lineRule="exact"/>
        <w:rPr>
          <w:rFonts w:ascii="Arial" w:cs="Arial" w:eastAsia="Arial" w:hAnsi="Arial"/>
          <w:sz w:val="18"/>
          <w:szCs w:val="18"/>
          <w:color w:val="auto"/>
        </w:rPr>
      </w:pPr>
    </w:p>
    <w:p>
      <w:pPr>
        <w:ind w:left="880" w:hanging="49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currency mix effect given that the increase in the deposit volume was generated by LC deposits.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An increase was registered for interest expenses for bonds and subordinated notes for issuances made in the third quarter of the year, as indicated above.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4.3. Net Interest Margin (NIM) and Risk-Adjusted NIM</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Credicorp’s NIM and Risk-Adjusted NIM </w:t>
      </w:r>
      <w:r>
        <w:rPr>
          <w:rFonts w:ascii="Arial" w:cs="Arial" w:eastAsia="Arial" w:hAnsi="Arial"/>
          <w:sz w:val="30"/>
          <w:szCs w:val="30"/>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90170</wp:posOffset>
            </wp:positionV>
            <wp:extent cx="6740525" cy="22555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40525" cy="2255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20" w:firstLine="8"/>
        <w:spacing w:after="0" w:line="277" w:lineRule="auto"/>
        <w:tabs>
          <w:tab w:leader="none" w:pos="261" w:val="left"/>
        </w:tabs>
        <w:numPr>
          <w:ilvl w:val="0"/>
          <w:numId w:val="45"/>
        </w:numPr>
        <w:rPr>
          <w:rFonts w:ascii="Arial" w:cs="Arial" w:eastAsia="Arial" w:hAnsi="Arial"/>
          <w:sz w:val="18"/>
          <w:szCs w:val="18"/>
          <w:color w:val="auto"/>
        </w:rPr>
      </w:pPr>
      <w:r>
        <w:rPr>
          <w:rFonts w:ascii="Arial" w:cs="Arial" w:eastAsia="Arial" w:hAnsi="Arial"/>
          <w:sz w:val="18"/>
          <w:szCs w:val="18"/>
          <w:color w:val="auto"/>
        </w:rPr>
        <w:t>Starting on 1Q17, we exclude derivatives from the NII result. For comparative purposes, figures starting from 1Q16 have been recalculated with the new methodology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80" w:hanging="49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Higher expansion in NII, which, as explained earlier, was in line with loan growth, mainly in retail banking.</w:t>
      </w:r>
    </w:p>
    <w:p>
      <w:pPr>
        <w:spacing w:after="0" w:line="225" w:lineRule="exact"/>
        <w:rPr>
          <w:rFonts w:ascii="Arial" w:cs="Arial" w:eastAsia="Arial" w:hAnsi="Arial"/>
          <w:sz w:val="18"/>
          <w:szCs w:val="18"/>
          <w:color w:val="auto"/>
        </w:rPr>
      </w:pPr>
    </w:p>
    <w:p>
      <w:pPr>
        <w:ind w:left="880" w:hanging="494"/>
        <w:spacing w:after="0" w:line="277"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increase in interest income on securities due to growth in the fair value through other comprehensive income investments (formerly securities available for sale).</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Risk-adjusted NIM </w:t>
      </w:r>
      <w:r>
        <w:rPr>
          <w:rFonts w:ascii="Arial" w:cs="Arial" w:eastAsia="Arial" w:hAnsi="Arial"/>
          <w:sz w:val="18"/>
          <w:szCs w:val="18"/>
          <w:color w:val="auto"/>
        </w:rPr>
        <w:t>fell -18pbs both QoQ and YoY and -5bps YTD due to an increase in provisions, as indicated in the previous section. Growth in loans, as</w:t>
      </w:r>
      <w:r>
        <w:rPr>
          <w:rFonts w:ascii="Arial" w:cs="Arial" w:eastAsia="Arial" w:hAnsi="Arial"/>
          <w:sz w:val="18"/>
          <w:szCs w:val="18"/>
          <w:b w:val="1"/>
          <w:bCs w:val="1"/>
          <w:color w:val="auto"/>
        </w:rPr>
        <w:t xml:space="preserve"> </w:t>
      </w:r>
      <w:r>
        <w:rPr>
          <w:rFonts w:ascii="Arial" w:cs="Arial" w:eastAsia="Arial" w:hAnsi="Arial"/>
          <w:sz w:val="18"/>
          <w:szCs w:val="18"/>
          <w:color w:val="auto"/>
        </w:rPr>
        <w:t>discussed earlier, was driven mainly by Retail Banking, which offers higher margins but also implies higher risk.</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jc w:val="both"/>
        <w:ind w:right="5920"/>
        <w:spacing w:after="0" w:line="257" w:lineRule="auto"/>
        <w:rPr>
          <w:sz w:val="20"/>
          <w:szCs w:val="20"/>
          <w:color w:val="auto"/>
        </w:rPr>
      </w:pPr>
      <w:r>
        <w:rPr>
          <w:rFonts w:ascii="Arial" w:cs="Arial" w:eastAsia="Arial" w:hAnsi="Arial"/>
          <w:sz w:val="18"/>
          <w:szCs w:val="18"/>
          <w:color w:val="auto"/>
        </w:rPr>
        <w:t>NIM on loans deteriorated YoY (-10 bps) and at the YTD (-26 bps) in a context of low market rates. The drop-in rates has hit the Wholesale Banking segments at BCP Stand-alone which are more sensitive to movements in interest rates-hardest but have also affected, albeit to a lesser extent, Retail Banking and Mibanco.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-694055</wp:posOffset>
            </wp:positionV>
            <wp:extent cx="2246630" cy="14922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246630" cy="149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It is also important to analyze the NIM by subsidiary. The table below shows the interest margins for each of Credicorp’s main subsidiaries.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BCP</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BCP</w:t>
            </w: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67"/>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NIM Breakdown</w:t>
            </w:r>
          </w:p>
        </w:tc>
        <w:tc>
          <w:tcPr>
            <w:tcW w:w="80" w:type="dxa"/>
            <w:vAlign w:val="bottom"/>
            <w:tcBorders>
              <w:bottom w:val="single" w:sz="8" w:color="CCEEFF"/>
            </w:tcBorders>
          </w:tcPr>
          <w:p>
            <w:pPr>
              <w:spacing w:after="0"/>
              <w:rPr>
                <w:sz w:val="23"/>
                <w:szCs w:val="23"/>
                <w:color w:val="auto"/>
              </w:rPr>
            </w:pPr>
          </w:p>
        </w:tc>
        <w:tc>
          <w:tcPr>
            <w:tcW w:w="1320" w:type="dxa"/>
            <w:vAlign w:val="bottom"/>
            <w:tcBorders>
              <w:bottom w:val="single" w:sz="8" w:color="auto"/>
            </w:tcBorders>
          </w:tcPr>
          <w:p>
            <w:pPr>
              <w:jc w:val="center"/>
              <w:spacing w:after="0" w:line="266" w:lineRule="exact"/>
              <w:rPr>
                <w:sz w:val="20"/>
                <w:szCs w:val="20"/>
                <w:color w:val="auto"/>
              </w:rPr>
            </w:pPr>
            <w:r>
              <w:rPr>
                <w:rFonts w:ascii="Arial" w:cs="Arial" w:eastAsia="Arial" w:hAnsi="Arial"/>
                <w:sz w:val="18"/>
                <w:szCs w:val="18"/>
                <w:b w:val="1"/>
                <w:bCs w:val="1"/>
                <w:color w:val="auto"/>
                <w:w w:val="86"/>
              </w:rPr>
              <w:t xml:space="preserve">Stand-alone </w:t>
            </w:r>
            <w:r>
              <w:rPr>
                <w:rFonts w:ascii="Arial" w:cs="Arial" w:eastAsia="Arial" w:hAnsi="Arial"/>
                <w:sz w:val="30"/>
                <w:szCs w:val="30"/>
                <w:color w:val="auto"/>
                <w:w w:val="86"/>
                <w:vertAlign w:val="superscript"/>
              </w:rPr>
              <w:t>(1)</w:t>
            </w:r>
          </w:p>
        </w:tc>
        <w:tc>
          <w:tcPr>
            <w:tcW w:w="240" w:type="dxa"/>
            <w:vAlign w:val="bottom"/>
            <w:tcBorders>
              <w:bottom w:val="single" w:sz="8" w:color="CCEEFF"/>
            </w:tcBorders>
          </w:tcPr>
          <w:p>
            <w:pPr>
              <w:spacing w:after="0"/>
              <w:rPr>
                <w:sz w:val="23"/>
                <w:szCs w:val="23"/>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Mibanco</w:t>
            </w:r>
          </w:p>
        </w:tc>
        <w:tc>
          <w:tcPr>
            <w:tcW w:w="240" w:type="dxa"/>
            <w:vAlign w:val="bottom"/>
            <w:tcBorders>
              <w:bottom w:val="single" w:sz="8" w:color="CCEEFF"/>
            </w:tcBorders>
          </w:tcPr>
          <w:p>
            <w:pPr>
              <w:spacing w:after="0"/>
              <w:rPr>
                <w:sz w:val="23"/>
                <w:szCs w:val="23"/>
                <w:color w:val="auto"/>
              </w:rPr>
            </w:pPr>
          </w:p>
        </w:tc>
        <w:tc>
          <w:tcPr>
            <w:tcW w:w="960" w:type="dxa"/>
            <w:vAlign w:val="bottom"/>
            <w:tcBorders>
              <w:bottom w:val="single" w:sz="8" w:color="auto"/>
            </w:tcBorders>
          </w:tcPr>
          <w:p>
            <w:pPr>
              <w:jc w:val="center"/>
              <w:spacing w:after="0" w:line="266" w:lineRule="exact"/>
              <w:rPr>
                <w:sz w:val="20"/>
                <w:szCs w:val="20"/>
                <w:color w:val="auto"/>
              </w:rPr>
            </w:pPr>
            <w:r>
              <w:rPr>
                <w:rFonts w:ascii="Arial" w:cs="Arial" w:eastAsia="Arial" w:hAnsi="Arial"/>
                <w:sz w:val="18"/>
                <w:szCs w:val="18"/>
                <w:b w:val="1"/>
                <w:bCs w:val="1"/>
                <w:color w:val="auto"/>
                <w:w w:val="85"/>
              </w:rPr>
              <w:t xml:space="preserve">Bolivia </w:t>
            </w:r>
            <w:r>
              <w:rPr>
                <w:rFonts w:ascii="Arial" w:cs="Arial" w:eastAsia="Arial" w:hAnsi="Arial"/>
                <w:sz w:val="30"/>
                <w:szCs w:val="30"/>
                <w:color w:val="auto"/>
                <w:w w:val="85"/>
                <w:vertAlign w:val="superscript"/>
              </w:rPr>
              <w:t>(1)</w:t>
            </w:r>
          </w:p>
        </w:tc>
        <w:tc>
          <w:tcPr>
            <w:tcW w:w="260" w:type="dxa"/>
            <w:vAlign w:val="bottom"/>
            <w:tcBorders>
              <w:bottom w:val="single" w:sz="8" w:color="CCEEFF"/>
            </w:tcBorders>
          </w:tcPr>
          <w:p>
            <w:pPr>
              <w:spacing w:after="0"/>
              <w:rPr>
                <w:sz w:val="23"/>
                <w:szCs w:val="23"/>
                <w:color w:val="auto"/>
              </w:rPr>
            </w:pPr>
          </w:p>
        </w:tc>
        <w:tc>
          <w:tcPr>
            <w:tcW w:w="1320" w:type="dxa"/>
            <w:vAlign w:val="bottom"/>
            <w:tcBorders>
              <w:bottom w:val="single" w:sz="8" w:color="auto"/>
            </w:tcBorders>
          </w:tcPr>
          <w:p>
            <w:pPr>
              <w:ind w:left="100"/>
              <w:spacing w:after="0" w:line="266" w:lineRule="exact"/>
              <w:rPr>
                <w:sz w:val="20"/>
                <w:szCs w:val="20"/>
                <w:color w:val="auto"/>
              </w:rPr>
            </w:pPr>
            <w:r>
              <w:rPr>
                <w:rFonts w:ascii="Arial" w:cs="Arial" w:eastAsia="Arial" w:hAnsi="Arial"/>
                <w:sz w:val="18"/>
                <w:szCs w:val="18"/>
                <w:b w:val="1"/>
                <w:bCs w:val="1"/>
                <w:color w:val="auto"/>
                <w:w w:val="89"/>
              </w:rPr>
              <w:t>Credicorp</w:t>
            </w:r>
            <w:r>
              <w:rPr>
                <w:rFonts w:ascii="Arial" w:cs="Arial" w:eastAsia="Arial" w:hAnsi="Arial"/>
                <w:sz w:val="30"/>
                <w:szCs w:val="30"/>
                <w:color w:val="auto"/>
                <w:w w:val="89"/>
                <w:vertAlign w:val="superscript"/>
              </w:rPr>
              <w:t>(1)(2)</w:t>
            </w:r>
          </w:p>
        </w:tc>
        <w:tc>
          <w:tcPr>
            <w:tcW w:w="200" w:type="dxa"/>
            <w:vAlign w:val="bottom"/>
            <w:tcBorders>
              <w:bottom w:val="single" w:sz="8" w:color="CCEEFF"/>
            </w:tcBorders>
          </w:tcPr>
          <w:p>
            <w:pPr>
              <w:spacing w:after="0"/>
              <w:rPr>
                <w:sz w:val="23"/>
                <w:szCs w:val="23"/>
                <w:color w:val="auto"/>
              </w:rPr>
            </w:pP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3Q18</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5.53%</w:t>
            </w: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2Q19</w:t>
            </w: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4.86%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14.89%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3.66%</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5.48%</w:t>
            </w: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3Q19</w:t>
            </w: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5.40%</w:t>
            </w: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YTD - Sep 18</w:t>
            </w: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4.56%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16.01%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3.66%</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5.31%</w:t>
            </w: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YTD - Sep 19</w:t>
            </w: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5.37%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NIM: Annualized Net interest income / Average period end and period beginning interest earning assets.</w:t>
      </w:r>
    </w:p>
    <w:p>
      <w:pPr>
        <w:spacing w:after="0" w:line="23" w:lineRule="exact"/>
        <w:rPr>
          <w:sz w:val="20"/>
          <w:szCs w:val="20"/>
          <w:color w:val="auto"/>
        </w:rPr>
      </w:pPr>
    </w:p>
    <w:p>
      <w:pPr>
        <w:ind w:left="260" w:hanging="252"/>
        <w:spacing w:after="0"/>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Credicorp also includes Credicorp Capital, Prima, Grupo Credito and Eliminations for consolidation purposes.</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In the YTD evolution at </w:t>
      </w:r>
      <w:r>
        <w:rPr>
          <w:rFonts w:ascii="Arial" w:cs="Arial" w:eastAsia="Arial" w:hAnsi="Arial"/>
          <w:sz w:val="18"/>
          <w:szCs w:val="18"/>
          <w:b w:val="1"/>
          <w:bCs w:val="1"/>
          <w:color w:val="auto"/>
        </w:rPr>
        <w:t>Credicorp</w:t>
      </w:r>
      <w:r>
        <w:rPr>
          <w:rFonts w:ascii="Arial" w:cs="Arial" w:eastAsia="Arial" w:hAnsi="Arial"/>
          <w:sz w:val="18"/>
          <w:szCs w:val="18"/>
          <w:color w:val="auto"/>
        </w:rPr>
        <w:t xml:space="preserve">, we see a slight recovery that corresponds to an improvement in NIM at </w:t>
      </w:r>
      <w:r>
        <w:rPr>
          <w:rFonts w:ascii="Arial" w:cs="Arial" w:eastAsia="Arial" w:hAnsi="Arial"/>
          <w:sz w:val="18"/>
          <w:szCs w:val="18"/>
          <w:b w:val="1"/>
          <w:bCs w:val="1"/>
          <w:color w:val="auto"/>
        </w:rPr>
        <w:t>BCP Individual</w:t>
      </w:r>
      <w:r>
        <w:rPr>
          <w:rFonts w:ascii="Arial" w:cs="Arial" w:eastAsia="Arial" w:hAnsi="Arial"/>
          <w:sz w:val="18"/>
          <w:szCs w:val="18"/>
          <w:color w:val="auto"/>
        </w:rPr>
        <w:t>, which represents around 69% of net interest income. This increase offset the deterioration in NIM at BCP Bolivia and Mibanco. The improvement in the margin is in line with loan growth in higher-margin segments, specifically Retail Banking loans.</w:t>
      </w:r>
    </w:p>
    <w:p>
      <w:pPr>
        <w:spacing w:after="0" w:line="17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Mibanco</w:t>
      </w:r>
      <w:r>
        <w:rPr>
          <w:rFonts w:ascii="Arial" w:cs="Arial" w:eastAsia="Arial" w:hAnsi="Arial"/>
          <w:sz w:val="17"/>
          <w:szCs w:val="17"/>
          <w:color w:val="auto"/>
        </w:rPr>
        <w:t>, which represents around 21% of net interest income, posted a noteworthy QoQ recovery in NIM, which was attributable to an improvement in</w:t>
      </w:r>
      <w:r>
        <w:rPr>
          <w:rFonts w:ascii="Arial" w:cs="Arial" w:eastAsia="Arial" w:hAnsi="Arial"/>
          <w:sz w:val="17"/>
          <w:szCs w:val="17"/>
          <w:b w:val="1"/>
          <w:bCs w:val="1"/>
          <w:color w:val="auto"/>
        </w:rPr>
        <w:t xml:space="preserve"> </w:t>
      </w:r>
      <w:r>
        <w:rPr>
          <w:rFonts w:ascii="Arial" w:cs="Arial" w:eastAsia="Arial" w:hAnsi="Arial"/>
          <w:sz w:val="17"/>
          <w:szCs w:val="17"/>
          <w:color w:val="auto"/>
        </w:rPr>
        <w:t>asset and liabilities management that allowed to obtain cheaper funding (deposits). Nevertheless, YoY and at the YTD, Mibanco’s NIM deteriorated. This was primarily attributable to a drop in LC rates in a highly competitive environment, which negatively affected interest income generation.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180975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41" w:lineRule="exact"/>
        <w:rPr>
          <w:sz w:val="20"/>
          <w:szCs w:val="20"/>
          <w:color w:val="auto"/>
        </w:rPr>
      </w:pPr>
    </w:p>
    <w:p>
      <w:pPr>
        <w:ind w:left="220" w:hanging="212"/>
        <w:spacing w:after="0"/>
        <w:tabs>
          <w:tab w:leader="none" w:pos="220" w:val="left"/>
        </w:tabs>
        <w:numPr>
          <w:ilvl w:val="0"/>
          <w:numId w:val="48"/>
        </w:numPr>
        <w:rPr>
          <w:rFonts w:ascii="Arial" w:cs="Arial" w:eastAsia="Arial" w:hAnsi="Arial"/>
          <w:sz w:val="26"/>
          <w:szCs w:val="26"/>
          <w:color w:val="auto"/>
          <w:vertAlign w:val="superscript"/>
        </w:rPr>
      </w:pPr>
      <w:r>
        <w:rPr>
          <w:rFonts w:ascii="Arial" w:cs="Arial" w:eastAsia="Arial" w:hAnsi="Arial"/>
          <w:sz w:val="16"/>
          <w:szCs w:val="16"/>
          <w:color w:val="auto"/>
        </w:rPr>
        <w:t>NIM on loans is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137160</wp:posOffset>
            </wp:positionV>
            <wp:extent cx="3816350" cy="2228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1635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share of loans within total earning assets is calculated by dividing the average of the beginning and closing balances of total loans for the reporting period, by the average of the beginning and closing balances of the interest earning assets for the reporting period.</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5. Non-Financial Income</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In 3Q19, non-financial income registered growth QoQ, YoY and Year-to-date (YTD). This increase was due primarily to growth in the Net gain on securities, which posted an increase in its share of non-financial income, which situated at 11.8% (vs 8.5% in 2Q19 and 4.6% in 3Q18). The aforementioned was attributable to an improvement in the evolution of business at BCP Stand-alone with regard to sales and revaluation of its investments. Fee income, the main source of non-financial income, posted an improvement in results, in line with an uptick in transactional activity at BCP Stand-alone.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gridSpan w:val="2"/>
          </w:tcPr>
          <w:p>
            <w:pPr>
              <w:spacing w:after="0"/>
              <w:rPr>
                <w:sz w:val="20"/>
                <w:szCs w:val="20"/>
                <w:color w:val="auto"/>
              </w:rPr>
            </w:pPr>
            <w:r>
              <w:rPr>
                <w:rFonts w:ascii="Arial" w:cs="Arial" w:eastAsia="Arial" w:hAnsi="Arial"/>
                <w:sz w:val="14"/>
                <w:szCs w:val="14"/>
                <w:b w:val="1"/>
                <w:bCs w:val="1"/>
                <w:color w:val="auto"/>
              </w:rPr>
              <w:t>Non-financial income</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Quarter</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3"/>
          </w:tcPr>
          <w:p>
            <w:pPr>
              <w:ind w:left="540"/>
              <w:spacing w:after="0"/>
              <w:rPr>
                <w:sz w:val="20"/>
                <w:szCs w:val="20"/>
                <w:color w:val="auto"/>
              </w:rPr>
            </w:pPr>
            <w:r>
              <w:rPr>
                <w:rFonts w:ascii="Arial" w:cs="Arial" w:eastAsia="Arial" w:hAnsi="Arial"/>
                <w:sz w:val="14"/>
                <w:szCs w:val="14"/>
                <w:b w:val="1"/>
                <w:bCs w:val="1"/>
                <w:color w:val="auto"/>
              </w:rPr>
              <w:t>% change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b w:val="1"/>
                <w:bCs w:val="1"/>
                <w:color w:val="auto"/>
                <w:w w:val="99"/>
              </w:rPr>
              <w:t>YTD</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rPr>
              <w:t>% change</w:t>
            </w:r>
          </w:p>
        </w:tc>
      </w:tr>
      <w:tr>
        <w:trPr>
          <w:trHeight w:val="171"/>
        </w:trPr>
        <w:tc>
          <w:tcPr>
            <w:tcW w:w="3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 000</w:t>
            </w:r>
          </w:p>
        </w:tc>
        <w:tc>
          <w:tcPr>
            <w:tcW w:w="2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3Q18</w:t>
            </w:r>
          </w:p>
        </w:tc>
        <w:tc>
          <w:tcPr>
            <w:tcW w:w="2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2Q19</w:t>
            </w:r>
          </w:p>
        </w:tc>
        <w:tc>
          <w:tcPr>
            <w:tcW w:w="2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3Q19</w:t>
            </w:r>
          </w:p>
        </w:tc>
        <w:tc>
          <w:tcPr>
            <w:tcW w:w="2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YoY</w:t>
            </w:r>
          </w:p>
        </w:tc>
        <w:tc>
          <w:tcPr>
            <w:tcW w:w="2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Sep 18</w:t>
            </w:r>
          </w:p>
        </w:tc>
        <w:tc>
          <w:tcPr>
            <w:tcW w:w="2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Sep 19</w:t>
            </w:r>
          </w:p>
        </w:tc>
        <w:tc>
          <w:tcPr>
            <w:tcW w:w="2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Sep 19 /Sep 18</w:t>
            </w:r>
          </w:p>
        </w:tc>
        <w:tc>
          <w:tcPr>
            <w:tcW w:w="120" w:type="dxa"/>
            <w:vAlign w:val="bottom"/>
            <w:tcBorders>
              <w:bottom w:val="single" w:sz="8" w:color="CCEEFF"/>
            </w:tcBorders>
          </w:tcPr>
          <w:p>
            <w:pPr>
              <w:spacing w:after="0"/>
              <w:rPr>
                <w:sz w:val="14"/>
                <w:szCs w:val="14"/>
                <w:color w:val="auto"/>
              </w:rPr>
            </w:pPr>
          </w:p>
        </w:tc>
      </w:tr>
      <w:tr>
        <w:trPr>
          <w:trHeight w:val="142"/>
        </w:trPr>
        <w:tc>
          <w:tcPr>
            <w:tcW w:w="30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Fee income</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773,529</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787,250</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815,403</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3.6%</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5.4%</w:t>
            </w: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2,290,215</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2,385,575</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4.2%</w:t>
            </w:r>
          </w:p>
        </w:tc>
      </w:tr>
      <w:tr>
        <w:trPr>
          <w:trHeight w:val="149"/>
        </w:trPr>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Net gain on foreign exchange transactions</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182,777</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188,358</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188,073</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-0.2%</w:t>
            </w:r>
          </w:p>
        </w:tc>
        <w:tc>
          <w:tcPr>
            <w:tcW w:w="180" w:type="dxa"/>
            <w:vAlign w:val="bottom"/>
          </w:tcPr>
          <w:p>
            <w:pPr>
              <w:spacing w:after="0"/>
              <w:rPr>
                <w:sz w:val="12"/>
                <w:szCs w:val="12"/>
                <w:color w:val="auto"/>
              </w:rPr>
            </w:pPr>
          </w:p>
        </w:tc>
        <w:tc>
          <w:tcPr>
            <w:tcW w:w="8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2.9%</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525,741</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554,854</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w:t>
            </w:r>
          </w:p>
        </w:tc>
      </w:tr>
      <w:tr>
        <w:trPr>
          <w:trHeight w:val="189"/>
        </w:trPr>
        <w:tc>
          <w:tcPr>
            <w:tcW w:w="324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 xml:space="preserve">Net gain on securities </w:t>
            </w:r>
            <w:r>
              <w:rPr>
                <w:rFonts w:ascii="Arial" w:cs="Arial" w:eastAsia="Arial" w:hAnsi="Arial"/>
                <w:sz w:val="21"/>
                <w:szCs w:val="21"/>
                <w:color w:val="auto"/>
                <w:vertAlign w:val="superscript"/>
              </w:rPr>
              <w:t>(1)</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50,192</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100,987</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150,427</w:t>
            </w:r>
          </w:p>
        </w:tc>
        <w:tc>
          <w:tcPr>
            <w:tcW w:w="10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49.0%</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199.7%</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123,436</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364,959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195.7%</w:t>
            </w:r>
          </w:p>
        </w:tc>
      </w:tr>
      <w:tr>
        <w:trPr>
          <w:trHeight w:val="189"/>
        </w:trPr>
        <w:tc>
          <w:tcPr>
            <w:tcW w:w="3240" w:type="dxa"/>
            <w:vAlign w:val="bottom"/>
            <w:gridSpan w:val="2"/>
          </w:tcPr>
          <w:p>
            <w:pPr>
              <w:spacing w:after="0" w:line="189" w:lineRule="exact"/>
              <w:rPr>
                <w:sz w:val="20"/>
                <w:szCs w:val="20"/>
                <w:color w:val="auto"/>
              </w:rPr>
            </w:pPr>
            <w:r>
              <w:rPr>
                <w:rFonts w:ascii="Arial" w:cs="Arial" w:eastAsia="Arial" w:hAnsi="Arial"/>
                <w:sz w:val="13"/>
                <w:szCs w:val="13"/>
                <w:color w:val="auto"/>
              </w:rPr>
              <w:t xml:space="preserve">Net gain from associates </w:t>
            </w:r>
            <w:r>
              <w:rPr>
                <w:rFonts w:ascii="Arial" w:cs="Arial" w:eastAsia="Arial" w:hAnsi="Arial"/>
                <w:sz w:val="21"/>
                <w:szCs w:val="21"/>
                <w:color w:val="auto"/>
                <w:vertAlign w:val="superscript"/>
              </w:rPr>
              <w:t>(1) (2)</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15,698</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20,478</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21,842</w:t>
            </w:r>
          </w:p>
        </w:tc>
        <w:tc>
          <w:tcPr>
            <w:tcW w:w="1040" w:type="dxa"/>
            <w:vAlign w:val="bottom"/>
            <w:gridSpan w:val="2"/>
          </w:tcPr>
          <w:p>
            <w:pPr>
              <w:jc w:val="right"/>
              <w:ind w:right="68"/>
              <w:spacing w:after="0"/>
              <w:rPr>
                <w:sz w:val="20"/>
                <w:szCs w:val="20"/>
                <w:color w:val="auto"/>
              </w:rPr>
            </w:pPr>
            <w:r>
              <w:rPr>
                <w:rFonts w:ascii="Arial" w:cs="Arial" w:eastAsia="Arial" w:hAnsi="Arial"/>
                <w:sz w:val="14"/>
                <w:szCs w:val="14"/>
                <w:color w:val="auto"/>
              </w:rPr>
              <w:t>6.7%</w:t>
            </w:r>
          </w:p>
        </w:tc>
        <w:tc>
          <w:tcPr>
            <w:tcW w:w="180" w:type="dxa"/>
            <w:vAlign w:val="bottom"/>
          </w:tcPr>
          <w:p>
            <w:pPr>
              <w:spacing w:after="0"/>
              <w:rPr>
                <w:sz w:val="16"/>
                <w:szCs w:val="16"/>
                <w:color w:val="auto"/>
              </w:rPr>
            </w:pPr>
          </w:p>
        </w:tc>
        <w:tc>
          <w:tcPr>
            <w:tcW w:w="860" w:type="dxa"/>
            <w:vAlign w:val="bottom"/>
            <w:gridSpan w:val="2"/>
          </w:tcPr>
          <w:p>
            <w:pPr>
              <w:jc w:val="right"/>
              <w:ind w:right="68"/>
              <w:spacing w:after="0"/>
              <w:rPr>
                <w:sz w:val="20"/>
                <w:szCs w:val="20"/>
                <w:color w:val="auto"/>
              </w:rPr>
            </w:pPr>
            <w:r>
              <w:rPr>
                <w:rFonts w:ascii="Arial" w:cs="Arial" w:eastAsia="Arial" w:hAnsi="Arial"/>
                <w:sz w:val="14"/>
                <w:szCs w:val="14"/>
                <w:color w:val="auto"/>
              </w:rPr>
              <w:t>39.1%</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53,410</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57,106</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6.9%</w:t>
            </w:r>
          </w:p>
        </w:tc>
      </w:tr>
      <w:tr>
        <w:trPr>
          <w:trHeight w:val="149"/>
        </w:trPr>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gain on derivatives held for trading</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674</w:t>
            </w: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(724)</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2,158</w:t>
            </w:r>
          </w:p>
        </w:tc>
        <w:tc>
          <w:tcPr>
            <w:tcW w:w="10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398.1%</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220.2%</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14,959</w:t>
            </w: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(1,000)</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-106.7%</w:t>
            </w:r>
          </w:p>
        </w:tc>
      </w:tr>
      <w:tr>
        <w:trPr>
          <w:trHeight w:val="149"/>
        </w:trPr>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Net gain from exchange differences</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8,834</w:t>
            </w: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(3,603)</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(1,964)</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45.5%</w:t>
            </w:r>
          </w:p>
        </w:tc>
        <w:tc>
          <w:tcPr>
            <w:tcW w:w="180" w:type="dxa"/>
            <w:vAlign w:val="bottom"/>
          </w:tcPr>
          <w:p>
            <w:pPr>
              <w:spacing w:after="0"/>
              <w:rPr>
                <w:sz w:val="12"/>
                <w:szCs w:val="12"/>
                <w:color w:val="auto"/>
              </w:rPr>
            </w:pPr>
          </w:p>
        </w:tc>
        <w:tc>
          <w:tcPr>
            <w:tcW w:w="8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-122.2%</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15,754</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2,093</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-86.7%</w:t>
            </w:r>
          </w:p>
        </w:tc>
      </w:tr>
      <w:tr>
        <w:trPr>
          <w:trHeight w:val="162"/>
        </w:trPr>
        <w:tc>
          <w:tcPr>
            <w:tcW w:w="3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non-financial income</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67,174</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98,703</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94,647</w:t>
            </w:r>
          </w:p>
        </w:tc>
        <w:tc>
          <w:tcPr>
            <w:tcW w:w="10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-4.1%</w:t>
            </w: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40.9%</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234,060</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268,955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14.9%</w:t>
            </w:r>
          </w:p>
        </w:tc>
      </w:tr>
      <w:tr>
        <w:trPr>
          <w:trHeight w:val="142"/>
        </w:trPr>
        <w:tc>
          <w:tcPr>
            <w:tcW w:w="32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Total non-financial income, net</w:t>
            </w: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1,098,878</w:t>
            </w:r>
          </w:p>
        </w:tc>
        <w:tc>
          <w:tcPr>
            <w:tcW w:w="200" w:type="dxa"/>
            <w:vAlign w:val="bottom"/>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1,191,449</w:t>
            </w:r>
          </w:p>
        </w:tc>
        <w:tc>
          <w:tcPr>
            <w:tcW w:w="220" w:type="dxa"/>
            <w:vAlign w:val="bottom"/>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1,270,586</w:t>
            </w:r>
          </w:p>
        </w:tc>
        <w:tc>
          <w:tcPr>
            <w:tcW w:w="22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6.6</w:t>
            </w:r>
          </w:p>
        </w:tc>
        <w:tc>
          <w:tcPr>
            <w:tcW w:w="26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15.6</w:t>
            </w:r>
          </w:p>
        </w:tc>
        <w:tc>
          <w:tcPr>
            <w:tcW w:w="26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3,257,575</w:t>
            </w:r>
          </w:p>
        </w:tc>
        <w:tc>
          <w:tcPr>
            <w:tcW w:w="200" w:type="dxa"/>
            <w:vAlign w:val="bottom"/>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3,632,542</w:t>
            </w:r>
          </w:p>
        </w:tc>
        <w:tc>
          <w:tcPr>
            <w:tcW w:w="220" w:type="dxa"/>
            <w:vAlign w:val="bottom"/>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11.5</w:t>
            </w:r>
          </w:p>
        </w:tc>
        <w:tc>
          <w:tcPr>
            <w:tcW w:w="1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9"/>
              </w:rPr>
              <w:t>%</w:t>
            </w:r>
          </w:p>
        </w:tc>
      </w:tr>
      <w:tr>
        <w:trPr>
          <w:trHeight w:val="20"/>
        </w:trPr>
        <w:tc>
          <w:tcPr>
            <w:tcW w:w="3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8"/>
        <w:spacing w:after="0" w:line="258" w:lineRule="auto"/>
        <w:tabs>
          <w:tab w:leader="none" w:pos="267"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gain from other investments in related companies has been included in the item "Net gain from associates"; which previously was presented in the item "Net gain on sales of securities".</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gains on other investments, mainly made up of the profit of Banmedica.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Quarter</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tcPr>
          <w:p>
            <w:pPr>
              <w:jc w:val="center"/>
              <w:ind w:left="408"/>
              <w:spacing w:after="0"/>
              <w:rPr>
                <w:sz w:val="20"/>
                <w:szCs w:val="20"/>
                <w:color w:val="auto"/>
              </w:rPr>
            </w:pPr>
            <w:r>
              <w:rPr>
                <w:rFonts w:ascii="Arial" w:cs="Arial" w:eastAsia="Arial" w:hAnsi="Arial"/>
                <w:sz w:val="14"/>
                <w:szCs w:val="14"/>
                <w:b w:val="1"/>
                <w:bCs w:val="1"/>
                <w:color w:val="auto"/>
                <w:w w:val="91"/>
              </w:rPr>
              <w:t>% change</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YTD</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 change</w:t>
            </w:r>
          </w:p>
        </w:tc>
      </w:tr>
      <w:tr>
        <w:trPr>
          <w:trHeight w:val="171"/>
        </w:trPr>
        <w:tc>
          <w:tcPr>
            <w:tcW w:w="2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 millions )</w:t>
            </w:r>
          </w:p>
        </w:tc>
        <w:tc>
          <w:tcPr>
            <w:tcW w:w="2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3Q18</w:t>
            </w:r>
          </w:p>
        </w:tc>
        <w:tc>
          <w:tcPr>
            <w:tcW w:w="2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2Q19</w:t>
            </w:r>
          </w:p>
        </w:tc>
        <w:tc>
          <w:tcPr>
            <w:tcW w:w="2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3Q19</w:t>
            </w:r>
          </w:p>
        </w:tc>
        <w:tc>
          <w:tcPr>
            <w:tcW w:w="2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5"/>
              </w:rPr>
              <w:t>YoY</w:t>
            </w: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Sep 18</w:t>
            </w:r>
          </w:p>
        </w:tc>
        <w:tc>
          <w:tcPr>
            <w:tcW w:w="2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Sep 19</w:t>
            </w:r>
          </w:p>
        </w:tc>
        <w:tc>
          <w:tcPr>
            <w:tcW w:w="2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Sep 19 / Sep 18</w:t>
            </w:r>
          </w:p>
        </w:tc>
        <w:tc>
          <w:tcPr>
            <w:tcW w:w="140" w:type="dxa"/>
            <w:vAlign w:val="bottom"/>
            <w:tcBorders>
              <w:bottom w:val="single" w:sz="8" w:color="CCEEFF"/>
            </w:tcBorders>
          </w:tcPr>
          <w:p>
            <w:pPr>
              <w:spacing w:after="0"/>
              <w:rPr>
                <w:sz w:val="14"/>
                <w:szCs w:val="14"/>
                <w:color w:val="auto"/>
              </w:rPr>
            </w:pPr>
          </w:p>
        </w:tc>
      </w:tr>
      <w:tr>
        <w:trPr>
          <w:trHeight w:val="142"/>
        </w:trPr>
        <w:tc>
          <w:tcPr>
            <w:tcW w:w="29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 EPS contribution (50%)</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10,686</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12,758</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14,720</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540"/>
              <w:spacing w:after="0" w:line="142" w:lineRule="exact"/>
              <w:rPr>
                <w:sz w:val="20"/>
                <w:szCs w:val="20"/>
                <w:color w:val="auto"/>
              </w:rPr>
            </w:pPr>
            <w:r>
              <w:rPr>
                <w:rFonts w:ascii="Arial" w:cs="Arial" w:eastAsia="Arial" w:hAnsi="Arial"/>
                <w:sz w:val="14"/>
                <w:szCs w:val="14"/>
                <w:color w:val="auto"/>
              </w:rPr>
              <w:t>15.4%</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8"/>
              <w:spacing w:after="0" w:line="142" w:lineRule="exact"/>
              <w:rPr>
                <w:sz w:val="20"/>
                <w:szCs w:val="20"/>
                <w:color w:val="auto"/>
              </w:rPr>
            </w:pPr>
            <w:r>
              <w:rPr>
                <w:rFonts w:ascii="Arial" w:cs="Arial" w:eastAsia="Arial" w:hAnsi="Arial"/>
                <w:sz w:val="14"/>
                <w:szCs w:val="14"/>
                <w:color w:val="auto"/>
                <w:w w:val="85"/>
              </w:rPr>
              <w:t>37.8%</w:t>
            </w: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37,223</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36,396</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-2.2%</w:t>
            </w:r>
          </w:p>
        </w:tc>
      </w:tr>
      <w:tr>
        <w:trPr>
          <w:trHeight w:val="162"/>
        </w:trPr>
        <w:tc>
          <w:tcPr>
            <w:tcW w:w="3140" w:type="dxa"/>
            <w:vAlign w:val="bottom"/>
            <w:gridSpan w:val="2"/>
          </w:tcPr>
          <w:p>
            <w:pPr>
              <w:spacing w:after="0"/>
              <w:rPr>
                <w:sz w:val="20"/>
                <w:szCs w:val="20"/>
                <w:color w:val="auto"/>
              </w:rPr>
            </w:pPr>
            <w:r>
              <w:rPr>
                <w:rFonts w:ascii="Arial" w:cs="Arial" w:eastAsia="Arial" w:hAnsi="Arial"/>
                <w:sz w:val="14"/>
                <w:szCs w:val="14"/>
                <w:color w:val="auto"/>
              </w:rPr>
              <w:t>(-) Private health insurance deduction (50%)</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(5,711)</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(4,746)</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(5,350)</w:t>
            </w:r>
          </w:p>
        </w:tc>
        <w:tc>
          <w:tcPr>
            <w:tcW w:w="1040" w:type="dxa"/>
            <w:vAlign w:val="bottom"/>
            <w:gridSpan w:val="2"/>
          </w:tcPr>
          <w:p>
            <w:pPr>
              <w:ind w:left="540"/>
              <w:spacing w:after="0"/>
              <w:rPr>
                <w:sz w:val="20"/>
                <w:szCs w:val="20"/>
                <w:color w:val="auto"/>
              </w:rPr>
            </w:pPr>
            <w:r>
              <w:rPr>
                <w:rFonts w:ascii="Arial" w:cs="Arial" w:eastAsia="Arial" w:hAnsi="Arial"/>
                <w:sz w:val="14"/>
                <w:szCs w:val="14"/>
                <w:color w:val="auto"/>
              </w:rPr>
              <w:t>12.7%</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gridSpan w:val="2"/>
          </w:tcPr>
          <w:p>
            <w:pPr>
              <w:jc w:val="right"/>
              <w:ind w:right="188"/>
              <w:spacing w:after="0"/>
              <w:rPr>
                <w:sz w:val="20"/>
                <w:szCs w:val="20"/>
                <w:color w:val="auto"/>
              </w:rPr>
            </w:pPr>
            <w:r>
              <w:rPr>
                <w:rFonts w:ascii="Arial" w:cs="Arial" w:eastAsia="Arial" w:hAnsi="Arial"/>
                <w:sz w:val="14"/>
                <w:szCs w:val="14"/>
                <w:color w:val="auto"/>
                <w:w w:val="92"/>
              </w:rPr>
              <w:t>-6.3%</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(14,355)</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(12,832)</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-10.6%</w:t>
            </w:r>
          </w:p>
        </w:tc>
      </w:tr>
      <w:tr>
        <w:trPr>
          <w:trHeight w:val="142"/>
        </w:trPr>
        <w:tc>
          <w:tcPr>
            <w:tcW w:w="314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 Net gain from association with Banmedica</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4,974</w:t>
            </w: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8,012</w:t>
            </w:r>
          </w:p>
        </w:tc>
        <w:tc>
          <w:tcPr>
            <w:tcW w:w="2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9,380</w:t>
            </w: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ind w:left="540"/>
              <w:spacing w:after="0" w:line="142" w:lineRule="exact"/>
              <w:rPr>
                <w:sz w:val="20"/>
                <w:szCs w:val="20"/>
                <w:color w:val="auto"/>
              </w:rPr>
            </w:pPr>
            <w:r>
              <w:rPr>
                <w:rFonts w:ascii="Arial" w:cs="Arial" w:eastAsia="Arial" w:hAnsi="Arial"/>
                <w:sz w:val="14"/>
                <w:szCs w:val="14"/>
                <w:b w:val="1"/>
                <w:bCs w:val="1"/>
                <w:color w:val="auto"/>
                <w:w w:val="80"/>
              </w:rPr>
              <w:t>17.1</w:t>
            </w:r>
          </w:p>
        </w:tc>
        <w:tc>
          <w:tcPr>
            <w:tcW w:w="26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0"/>
              </w:rPr>
              <w:t>88.6</w:t>
            </w:r>
          </w:p>
        </w:tc>
        <w:tc>
          <w:tcPr>
            <w:tcW w:w="380" w:type="dxa"/>
            <w:vAlign w:val="bottom"/>
            <w:tcBorders>
              <w:top w:val="single" w:sz="8" w:color="CCEEFF"/>
            </w:tcBorders>
            <w:shd w:val="clear" w:color="auto" w:fill="CCEEFF"/>
          </w:tcPr>
          <w:p>
            <w:pPr>
              <w:jc w:val="right"/>
              <w:ind w:right="148"/>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22,867</w:t>
            </w: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23,574</w:t>
            </w:r>
          </w:p>
        </w:tc>
        <w:tc>
          <w:tcPr>
            <w:tcW w:w="22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3.1</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QoQ evolution</w:t>
      </w:r>
      <w:r>
        <w:rPr>
          <w:rFonts w:ascii="Arial" w:cs="Arial" w:eastAsia="Arial" w:hAnsi="Arial"/>
          <w:sz w:val="18"/>
          <w:szCs w:val="18"/>
          <w:color w:val="auto"/>
        </w:rPr>
        <w:t xml:space="preserve"> shows expansion of 6.6% in non-financial income due to:</w:t>
      </w:r>
    </w:p>
    <w:p>
      <w:pPr>
        <w:spacing w:after="0" w:line="225" w:lineRule="exact"/>
        <w:rPr>
          <w:sz w:val="20"/>
          <w:szCs w:val="20"/>
          <w:color w:val="auto"/>
        </w:rPr>
      </w:pPr>
    </w:p>
    <w:p>
      <w:pPr>
        <w:jc w:val="both"/>
        <w:ind w:left="880" w:hanging="494"/>
        <w:spacing w:after="0" w:line="289" w:lineRule="auto"/>
        <w:tabs>
          <w:tab w:leader="none" w:pos="8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An increase in the </w:t>
      </w:r>
      <w:r>
        <w:rPr>
          <w:rFonts w:ascii="Arial" w:cs="Arial" w:eastAsia="Arial" w:hAnsi="Arial"/>
          <w:sz w:val="17"/>
          <w:szCs w:val="17"/>
          <w:b w:val="1"/>
          <w:bCs w:val="1"/>
          <w:color w:val="auto"/>
        </w:rPr>
        <w:t>Net gain on securities</w:t>
      </w:r>
      <w:r>
        <w:rPr>
          <w:rFonts w:ascii="Arial" w:cs="Arial" w:eastAsia="Arial" w:hAnsi="Arial"/>
          <w:sz w:val="17"/>
          <w:szCs w:val="17"/>
          <w:color w:val="auto"/>
        </w:rPr>
        <w:t xml:space="preserve"> due to the sale and fluctuation in the mark to market of securities at BCP Stand-alone. The increase registered for the sale of securities was attributable to gains in the Trading portfolio following the sale of Peruvian government bonds, while the fluctuation in securities was due to gains associated with bonds from the governments of Peru, Mexico and Colombia.</w:t>
      </w:r>
    </w:p>
    <w:p>
      <w:pPr>
        <w:spacing w:after="0" w:line="158" w:lineRule="exact"/>
        <w:rPr>
          <w:rFonts w:ascii="Arial" w:cs="Arial" w:eastAsia="Arial" w:hAnsi="Arial"/>
          <w:sz w:val="17"/>
          <w:szCs w:val="17"/>
          <w:color w:val="auto"/>
        </w:rPr>
      </w:pPr>
    </w:p>
    <w:p>
      <w:pPr>
        <w:ind w:left="880" w:hanging="494"/>
        <w:spacing w:after="0" w:line="282"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Growth in </w:t>
      </w:r>
      <w:r>
        <w:rPr>
          <w:rFonts w:ascii="Arial" w:cs="Arial" w:eastAsia="Arial" w:hAnsi="Arial"/>
          <w:sz w:val="18"/>
          <w:szCs w:val="18"/>
          <w:b w:val="1"/>
          <w:bCs w:val="1"/>
          <w:color w:val="auto"/>
        </w:rPr>
        <w:t>Fee Income</w:t>
      </w:r>
      <w:r>
        <w:rPr>
          <w:rFonts w:ascii="Arial" w:cs="Arial" w:eastAsia="Arial" w:hAnsi="Arial"/>
          <w:sz w:val="18"/>
          <w:szCs w:val="18"/>
          <w:color w:val="auto"/>
        </w:rPr>
        <w:t>, mainly at BCP Stand-alone, in line with the increase seen in the transactional level every second half of the year and, to a lesser extent, due to growth in fee income from corporate finance and brokerage.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All of the aforementioned was offset by:</w:t>
      </w:r>
    </w:p>
    <w:p>
      <w:pPr>
        <w:spacing w:after="0" w:line="221" w:lineRule="exact"/>
        <w:rPr>
          <w:sz w:val="20"/>
          <w:szCs w:val="20"/>
          <w:color w:val="auto"/>
        </w:rPr>
      </w:pPr>
    </w:p>
    <w:p>
      <w:pPr>
        <w:ind w:left="400" w:right="980" w:hanging="14"/>
        <w:spacing w:after="0" w:line="501" w:lineRule="auto"/>
        <w:tabs>
          <w:tab w:leader="none" w:pos="894"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A contraction in </w:t>
      </w:r>
      <w:r>
        <w:rPr>
          <w:rFonts w:ascii="Arial" w:cs="Arial" w:eastAsia="Arial" w:hAnsi="Arial"/>
          <w:sz w:val="18"/>
          <w:szCs w:val="18"/>
          <w:b w:val="1"/>
          <w:bCs w:val="1"/>
          <w:color w:val="auto"/>
        </w:rPr>
        <w:t>Other non-financial income</w:t>
      </w:r>
      <w:r>
        <w:rPr>
          <w:rFonts w:ascii="Arial" w:cs="Arial" w:eastAsia="Arial" w:hAnsi="Arial"/>
          <w:sz w:val="18"/>
          <w:szCs w:val="18"/>
          <w:color w:val="auto"/>
        </w:rPr>
        <w:t xml:space="preserve"> due to an increase in gains reported in 2Q19 for the sale of real estate at BCP Bolivia. The </w:t>
      </w:r>
      <w:r>
        <w:rPr>
          <w:rFonts w:ascii="Arial" w:cs="Arial" w:eastAsia="Arial" w:hAnsi="Arial"/>
          <w:sz w:val="18"/>
          <w:szCs w:val="18"/>
          <w:b w:val="1"/>
          <w:bCs w:val="1"/>
          <w:color w:val="auto"/>
        </w:rPr>
        <w:t>YoY analysis</w:t>
      </w:r>
      <w:r>
        <w:rPr>
          <w:rFonts w:ascii="Arial" w:cs="Arial" w:eastAsia="Arial" w:hAnsi="Arial"/>
          <w:sz w:val="18"/>
          <w:szCs w:val="18"/>
          <w:color w:val="auto"/>
        </w:rPr>
        <w:t xml:space="preserve"> reveals a significant increase in non-financial income of 15.6% due to:</w:t>
      </w:r>
    </w:p>
    <w:p>
      <w:pPr>
        <w:jc w:val="both"/>
        <w:ind w:left="880" w:hanging="494"/>
        <w:spacing w:after="0" w:line="261"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Growth in the </w:t>
      </w:r>
      <w:r>
        <w:rPr>
          <w:rFonts w:ascii="Arial" w:cs="Arial" w:eastAsia="Arial" w:hAnsi="Arial"/>
          <w:sz w:val="18"/>
          <w:szCs w:val="18"/>
          <w:b w:val="1"/>
          <w:bCs w:val="1"/>
          <w:color w:val="auto"/>
        </w:rPr>
        <w:t>Net gain on securities</w:t>
      </w:r>
      <w:r>
        <w:rPr>
          <w:rFonts w:ascii="Arial" w:cs="Arial" w:eastAsia="Arial" w:hAnsi="Arial"/>
          <w:sz w:val="18"/>
          <w:szCs w:val="18"/>
          <w:color w:val="auto"/>
        </w:rPr>
        <w:t>, mainly at BCP Stand-alone. This was primarily attributable to the sale of positions in the fair value through other comprehensive income portfolio (formerly securities available for sale) and, to a lesser extent, to an improvement in the results posted by the international and local fixed income portfolio at ASB. Growth at BCP Stand-alone was due to the fact that in 3Q18, losses were registered in this line following the sale of some investments.</w:t>
      </w:r>
    </w:p>
    <w:p>
      <w:pPr>
        <w:spacing w:after="0" w:line="180" w:lineRule="exact"/>
        <w:rPr>
          <w:rFonts w:ascii="Arial" w:cs="Arial" w:eastAsia="Arial" w:hAnsi="Arial"/>
          <w:sz w:val="18"/>
          <w:szCs w:val="18"/>
          <w:color w:val="auto"/>
        </w:rPr>
      </w:pPr>
    </w:p>
    <w:p>
      <w:pPr>
        <w:ind w:left="880" w:hanging="494"/>
        <w:spacing w:after="0" w:line="282"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Growth of +5.4% in </w:t>
      </w:r>
      <w:r>
        <w:rPr>
          <w:rFonts w:ascii="Arial" w:cs="Arial" w:eastAsia="Arial" w:hAnsi="Arial"/>
          <w:sz w:val="18"/>
          <w:szCs w:val="18"/>
          <w:b w:val="1"/>
          <w:bCs w:val="1"/>
          <w:color w:val="auto"/>
        </w:rPr>
        <w:t>Fee Income</w:t>
      </w:r>
      <w:r>
        <w:rPr>
          <w:rFonts w:ascii="Arial" w:cs="Arial" w:eastAsia="Arial" w:hAnsi="Arial"/>
          <w:sz w:val="18"/>
          <w:szCs w:val="18"/>
          <w:color w:val="auto"/>
        </w:rPr>
        <w:t xml:space="preserve"> due to an improvement in the evolution of banking commissions at BCP Stand-alone and, to a lesser extent, at BCP Bolivia and Mibanco, as we will explain in section 5.1.2 Fee Income in the Banking Business.</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 w:name="page33"/>
    <w:bookmarkEnd w:id="32"/>
    <w:p>
      <w:pPr>
        <w:ind w:left="880" w:hanging="494"/>
        <w:spacing w:after="0" w:line="347" w:lineRule="auto"/>
        <w:tabs>
          <w:tab w:leader="none" w:pos="8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The improvement in </w:t>
      </w:r>
      <w:r>
        <w:rPr>
          <w:rFonts w:ascii="Arial" w:cs="Arial" w:eastAsia="Arial" w:hAnsi="Arial"/>
          <w:sz w:val="16"/>
          <w:szCs w:val="16"/>
          <w:b w:val="1"/>
          <w:bCs w:val="1"/>
          <w:color w:val="auto"/>
        </w:rPr>
        <w:t>Other non-financial income</w:t>
      </w:r>
      <w:r>
        <w:rPr>
          <w:rFonts w:ascii="Arial" w:cs="Arial" w:eastAsia="Arial" w:hAnsi="Arial"/>
          <w:sz w:val="16"/>
          <w:szCs w:val="16"/>
          <w:color w:val="auto"/>
        </w:rPr>
        <w:t>, generated by Pacifico following the release of general and underwriting expenses and at BCP Stand-alone for the sale of some real estate (branches) and holdings in the underlying collections portfolio in the months of July and August.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All of the aforementioned was partially offset by:</w:t>
      </w:r>
    </w:p>
    <w:p>
      <w:pPr>
        <w:spacing w:after="0" w:line="221" w:lineRule="exact"/>
        <w:rPr>
          <w:sz w:val="20"/>
          <w:szCs w:val="20"/>
          <w:color w:val="auto"/>
        </w:rPr>
      </w:pPr>
    </w:p>
    <w:p>
      <w:pPr>
        <w:jc w:val="both"/>
        <w:ind w:left="880" w:hanging="494"/>
        <w:spacing w:after="0" w:line="266" w:lineRule="auto"/>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The contraction in the </w:t>
      </w:r>
      <w:r>
        <w:rPr>
          <w:rFonts w:ascii="Arial" w:cs="Arial" w:eastAsia="Arial" w:hAnsi="Arial"/>
          <w:sz w:val="18"/>
          <w:szCs w:val="18"/>
          <w:b w:val="1"/>
          <w:bCs w:val="1"/>
          <w:color w:val="auto"/>
        </w:rPr>
        <w:t>Net gain from exchange differences</w:t>
      </w:r>
      <w:r>
        <w:rPr>
          <w:rFonts w:ascii="Arial" w:cs="Arial" w:eastAsia="Arial" w:hAnsi="Arial"/>
          <w:sz w:val="18"/>
          <w:szCs w:val="18"/>
          <w:color w:val="auto"/>
        </w:rPr>
        <w:t xml:space="preserve"> due to volatility in the exchange rate (USD/PEN), whose variation negatively affected the position of the balance. The volatility of the exchange rate was due primarily to political uncertainty and trade tensions between the USA and China in 3Q19.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YTD</w:t>
      </w:r>
      <w:r>
        <w:rPr>
          <w:rFonts w:ascii="Arial" w:cs="Arial" w:eastAsia="Arial" w:hAnsi="Arial"/>
          <w:sz w:val="18"/>
          <w:szCs w:val="18"/>
          <w:color w:val="auto"/>
        </w:rPr>
        <w:t xml:space="preserve"> (Sep 19 vs Sep 18), non-financial income increased due to growth in:</w:t>
      </w:r>
    </w:p>
    <w:p>
      <w:pPr>
        <w:spacing w:after="0" w:line="225" w:lineRule="exact"/>
        <w:rPr>
          <w:sz w:val="20"/>
          <w:szCs w:val="20"/>
          <w:color w:val="auto"/>
        </w:rPr>
      </w:pPr>
    </w:p>
    <w:p>
      <w:pPr>
        <w:jc w:val="both"/>
        <w:ind w:left="880" w:hanging="494"/>
        <w:spacing w:after="0" w:line="298" w:lineRule="auto"/>
        <w:tabs>
          <w:tab w:leader="none" w:pos="8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Net gain on securities</w:t>
      </w:r>
      <w:r>
        <w:rPr>
          <w:rFonts w:ascii="Arial" w:cs="Arial" w:eastAsia="Arial" w:hAnsi="Arial"/>
          <w:sz w:val="16"/>
          <w:szCs w:val="16"/>
          <w:color w:val="auto"/>
        </w:rPr>
        <w:t>, which was primarily attributable to improvements in the results posted by BCP Stand-alone and ASB and, to a lesser extent, by Credicorp Capital and Prima. The aforementioned was attributable to growth in gains in the proprietary investment portfolios at each subsidiary, which was driven by: i) an increase in the mark to market value (MtM) of fair value through profit and loss investments and ii) the sale of some positions of the fair value through other comprehensive income portfolio. It is important to note that the recovery registered in 2019 versus 2018, given that last year, the increase in the international interest rates negatively affected the investment portfolio.</w:t>
      </w:r>
    </w:p>
    <w:p>
      <w:pPr>
        <w:spacing w:after="0" w:line="154" w:lineRule="exact"/>
        <w:rPr>
          <w:rFonts w:ascii="Arial" w:cs="Arial" w:eastAsia="Arial" w:hAnsi="Arial"/>
          <w:sz w:val="16"/>
          <w:szCs w:val="16"/>
          <w:color w:val="auto"/>
        </w:rPr>
      </w:pPr>
    </w:p>
    <w:p>
      <w:pPr>
        <w:ind w:left="880" w:hanging="494"/>
        <w:spacing w:after="0" w:line="282" w:lineRule="auto"/>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Fee income, </w:t>
      </w:r>
      <w:r>
        <w:rPr>
          <w:rFonts w:ascii="Arial" w:cs="Arial" w:eastAsia="Arial" w:hAnsi="Arial"/>
          <w:sz w:val="18"/>
          <w:szCs w:val="18"/>
          <w:color w:val="auto"/>
        </w:rPr>
        <w:t>which was mainly attributable to an improvement in business evolution at BCP Stand-alone and Mibanco, which we will describe in</w:t>
      </w:r>
      <w:r>
        <w:rPr>
          <w:rFonts w:ascii="Arial" w:cs="Arial" w:eastAsia="Arial" w:hAnsi="Arial"/>
          <w:sz w:val="18"/>
          <w:szCs w:val="18"/>
          <w:b w:val="1"/>
          <w:bCs w:val="1"/>
          <w:color w:val="auto"/>
        </w:rPr>
        <w:t xml:space="preserve"> </w:t>
      </w:r>
      <w:r>
        <w:rPr>
          <w:rFonts w:ascii="Arial" w:cs="Arial" w:eastAsia="Arial" w:hAnsi="Arial"/>
          <w:sz w:val="18"/>
          <w:szCs w:val="18"/>
          <w:color w:val="auto"/>
        </w:rPr>
        <w:t>greater detail in section 5.1.2 Fee income in the Banking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All of the aforementioned was offset by:</w:t>
      </w:r>
    </w:p>
    <w:p>
      <w:pPr>
        <w:spacing w:after="0" w:line="221" w:lineRule="exact"/>
        <w:rPr>
          <w:sz w:val="20"/>
          <w:szCs w:val="20"/>
          <w:color w:val="auto"/>
        </w:rPr>
      </w:pPr>
    </w:p>
    <w:p>
      <w:pPr>
        <w:ind w:left="880" w:right="20" w:hanging="494"/>
        <w:spacing w:after="0" w:line="282" w:lineRule="auto"/>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The contraction in the </w:t>
      </w:r>
      <w:r>
        <w:rPr>
          <w:rFonts w:ascii="Arial" w:cs="Arial" w:eastAsia="Arial" w:hAnsi="Arial"/>
          <w:sz w:val="18"/>
          <w:szCs w:val="18"/>
          <w:b w:val="1"/>
          <w:bCs w:val="1"/>
          <w:color w:val="auto"/>
        </w:rPr>
        <w:t>Net gain on derivatives held for trading</w:t>
      </w:r>
      <w:r>
        <w:rPr>
          <w:rFonts w:ascii="Arial" w:cs="Arial" w:eastAsia="Arial" w:hAnsi="Arial"/>
          <w:sz w:val="18"/>
          <w:szCs w:val="18"/>
          <w:color w:val="auto"/>
        </w:rPr>
        <w:t xml:space="preserve"> at Credicorp Capital after income from the forward business dropped to cover exchange risk exposure on investments in the trading portfolio and for trading swaps.</w:t>
      </w:r>
    </w:p>
    <w:p>
      <w:pPr>
        <w:spacing w:after="0" w:line="161" w:lineRule="exact"/>
        <w:rPr>
          <w:rFonts w:ascii="Arial" w:cs="Arial" w:eastAsia="Arial" w:hAnsi="Arial"/>
          <w:sz w:val="18"/>
          <w:szCs w:val="18"/>
          <w:color w:val="auto"/>
        </w:rPr>
      </w:pPr>
    </w:p>
    <w:p>
      <w:pPr>
        <w:ind w:left="880" w:hanging="494"/>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The decrease in the </w:t>
      </w:r>
      <w:r>
        <w:rPr>
          <w:rFonts w:ascii="Arial" w:cs="Arial" w:eastAsia="Arial" w:hAnsi="Arial"/>
          <w:sz w:val="18"/>
          <w:szCs w:val="18"/>
          <w:b w:val="1"/>
          <w:bCs w:val="1"/>
          <w:color w:val="auto"/>
        </w:rPr>
        <w:t>Net gain from exchange differences</w:t>
      </w:r>
      <w:r>
        <w:rPr>
          <w:rFonts w:ascii="Arial" w:cs="Arial" w:eastAsia="Arial" w:hAnsi="Arial"/>
          <w:sz w:val="18"/>
          <w:szCs w:val="18"/>
          <w:color w:val="auto"/>
        </w:rPr>
        <w:t xml:space="preserve"> at BCP Stand-alone, as explained in the YoY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 Fee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5.1.1. By subsidiary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figure below shows the contribution of each of Credicorp’s subsidiaries to Fee Income at Credicorp in 3Q19.</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Evolution of fee income QoQ by subsidiary </w:t>
      </w:r>
      <w:r>
        <w:rPr>
          <w:rFonts w:ascii="Arial" w:cs="Arial" w:eastAsia="Arial" w:hAnsi="Arial"/>
          <w:sz w:val="18"/>
          <w:szCs w:val="18"/>
          <w:color w:val="auto"/>
        </w:rPr>
        <w:t>(S/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154940</wp:posOffset>
            </wp:positionV>
            <wp:extent cx="6277610" cy="22980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77610"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*Others include Grupo Pacifico and eliminations for consolidation purposes.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The figure below shows the annual evolution of fee income by subsidiary: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Evolution of fee income YoY by subsidiary </w:t>
      </w:r>
      <w:r>
        <w:rPr>
          <w:rFonts w:ascii="Arial" w:cs="Arial" w:eastAsia="Arial" w:hAnsi="Arial"/>
          <w:sz w:val="18"/>
          <w:szCs w:val="18"/>
          <w:color w:val="auto"/>
        </w:rPr>
        <w:t>(S/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154940</wp:posOffset>
            </wp:positionV>
            <wp:extent cx="6363335" cy="24523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63335" cy="2452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*Others include Grupo Pacifico and eliminations for consolidation purposes.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5.1.2. Fee income in the Banking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chart below shows the evolution of the main components of fee income in the banking business: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Composition of Fee Income in the Banking Business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Fee Income</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Quarter</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3"/>
          </w:tcPr>
          <w:p>
            <w:pPr>
              <w:ind w:left="540"/>
              <w:spacing w:after="0"/>
              <w:rPr>
                <w:sz w:val="20"/>
                <w:szCs w:val="20"/>
                <w:color w:val="auto"/>
              </w:rPr>
            </w:pPr>
            <w:r>
              <w:rPr>
                <w:rFonts w:ascii="Arial" w:cs="Arial" w:eastAsia="Arial" w:hAnsi="Arial"/>
                <w:sz w:val="14"/>
                <w:szCs w:val="14"/>
                <w:b w:val="1"/>
                <w:bCs w:val="1"/>
                <w:color w:val="auto"/>
              </w:rPr>
              <w:t>% change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b w:val="1"/>
                <w:bCs w:val="1"/>
                <w:color w:val="auto"/>
                <w:w w:val="99"/>
              </w:rPr>
              <w:t>YTD</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 change</w:t>
            </w:r>
          </w:p>
        </w:tc>
      </w:tr>
      <w:tr>
        <w:trPr>
          <w:trHeight w:val="171"/>
        </w:trPr>
        <w:tc>
          <w:tcPr>
            <w:tcW w:w="2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 000</w:t>
            </w:r>
          </w:p>
        </w:tc>
        <w:tc>
          <w:tcPr>
            <w:tcW w:w="2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3Q18</w:t>
            </w:r>
          </w:p>
        </w:tc>
        <w:tc>
          <w:tcPr>
            <w:tcW w:w="2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2Q19</w:t>
            </w:r>
          </w:p>
        </w:tc>
        <w:tc>
          <w:tcPr>
            <w:tcW w:w="2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3Q19</w:t>
            </w:r>
          </w:p>
        </w:tc>
        <w:tc>
          <w:tcPr>
            <w:tcW w:w="2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YoY</w:t>
            </w:r>
          </w:p>
        </w:tc>
        <w:tc>
          <w:tcPr>
            <w:tcW w:w="2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Sep 18</w:t>
            </w:r>
          </w:p>
        </w:tc>
        <w:tc>
          <w:tcPr>
            <w:tcW w:w="2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Sep 19</w:t>
            </w:r>
          </w:p>
        </w:tc>
        <w:tc>
          <w:tcPr>
            <w:tcW w:w="2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Sep 19 / Sep 18</w:t>
            </w:r>
          </w:p>
        </w:tc>
        <w:tc>
          <w:tcPr>
            <w:tcW w:w="140" w:type="dxa"/>
            <w:vAlign w:val="bottom"/>
            <w:tcBorders>
              <w:bottom w:val="single" w:sz="8" w:color="CCEEFF"/>
            </w:tcBorders>
          </w:tcPr>
          <w:p>
            <w:pPr>
              <w:spacing w:after="0"/>
              <w:rPr>
                <w:sz w:val="14"/>
                <w:szCs w:val="14"/>
                <w:color w:val="auto"/>
              </w:rPr>
            </w:pPr>
          </w:p>
        </w:tc>
      </w:tr>
      <w:tr>
        <w:trPr>
          <w:trHeight w:val="183"/>
        </w:trPr>
        <w:tc>
          <w:tcPr>
            <w:tcW w:w="2980" w:type="dxa"/>
            <w:vAlign w:val="bottom"/>
            <w:shd w:val="clear" w:color="auto" w:fill="CCEEFF"/>
          </w:tcPr>
          <w:p>
            <w:pPr>
              <w:spacing w:after="0" w:line="183" w:lineRule="exact"/>
              <w:rPr>
                <w:sz w:val="20"/>
                <w:szCs w:val="20"/>
                <w:color w:val="auto"/>
              </w:rPr>
            </w:pPr>
            <w:r>
              <w:rPr>
                <w:rFonts w:ascii="Arial" w:cs="Arial" w:eastAsia="Arial" w:hAnsi="Arial"/>
                <w:sz w:val="13"/>
                <w:szCs w:val="13"/>
                <w:color w:val="auto"/>
              </w:rPr>
              <w:t xml:space="preserve">Miscellaneous accounts </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177,960</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169,732</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184,826</w:t>
            </w:r>
          </w:p>
        </w:tc>
        <w:tc>
          <w:tcPr>
            <w:tcW w:w="10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8.9%</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3.9%</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533,388</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532,075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189"/>
        </w:trPr>
        <w:tc>
          <w:tcPr>
            <w:tcW w:w="3200" w:type="dxa"/>
            <w:vAlign w:val="bottom"/>
            <w:gridSpan w:val="2"/>
          </w:tcPr>
          <w:p>
            <w:pPr>
              <w:spacing w:after="0" w:line="189" w:lineRule="exact"/>
              <w:rPr>
                <w:sz w:val="20"/>
                <w:szCs w:val="20"/>
                <w:color w:val="auto"/>
              </w:rPr>
            </w:pPr>
            <w:r>
              <w:rPr>
                <w:rFonts w:ascii="Arial" w:cs="Arial" w:eastAsia="Arial" w:hAnsi="Arial"/>
                <w:sz w:val="13"/>
                <w:szCs w:val="13"/>
                <w:color w:val="auto"/>
              </w:rPr>
              <w:t xml:space="preserve">Credit cards </w:t>
            </w:r>
            <w:r>
              <w:rPr>
                <w:rFonts w:ascii="Arial" w:cs="Arial" w:eastAsia="Arial" w:hAnsi="Arial"/>
                <w:sz w:val="21"/>
                <w:szCs w:val="21"/>
                <w:color w:val="auto"/>
                <w:vertAlign w:val="superscript"/>
              </w:rPr>
              <w:t>(2)</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73,792</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71,029</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71,633</w:t>
            </w:r>
          </w:p>
        </w:tc>
        <w:tc>
          <w:tcPr>
            <w:tcW w:w="1040" w:type="dxa"/>
            <w:vAlign w:val="bottom"/>
            <w:gridSpan w:val="2"/>
          </w:tcPr>
          <w:p>
            <w:pPr>
              <w:jc w:val="right"/>
              <w:ind w:right="68"/>
              <w:spacing w:after="0"/>
              <w:rPr>
                <w:sz w:val="20"/>
                <w:szCs w:val="20"/>
                <w:color w:val="auto"/>
              </w:rPr>
            </w:pPr>
            <w:r>
              <w:rPr>
                <w:rFonts w:ascii="Arial" w:cs="Arial" w:eastAsia="Arial" w:hAnsi="Arial"/>
                <w:sz w:val="14"/>
                <w:szCs w:val="14"/>
                <w:color w:val="auto"/>
              </w:rPr>
              <w:t>0.9%</w:t>
            </w:r>
          </w:p>
        </w:tc>
        <w:tc>
          <w:tcPr>
            <w:tcW w:w="180" w:type="dxa"/>
            <w:vAlign w:val="bottom"/>
          </w:tcPr>
          <w:p>
            <w:pPr>
              <w:spacing w:after="0"/>
              <w:rPr>
                <w:sz w:val="16"/>
                <w:szCs w:val="16"/>
                <w:color w:val="auto"/>
              </w:rPr>
            </w:pPr>
          </w:p>
        </w:tc>
        <w:tc>
          <w:tcPr>
            <w:tcW w:w="860" w:type="dxa"/>
            <w:vAlign w:val="bottom"/>
            <w:gridSpan w:val="2"/>
          </w:tcPr>
          <w:p>
            <w:pPr>
              <w:jc w:val="right"/>
              <w:ind w:right="68"/>
              <w:spacing w:after="0"/>
              <w:rPr>
                <w:sz w:val="20"/>
                <w:szCs w:val="20"/>
                <w:color w:val="auto"/>
              </w:rPr>
            </w:pPr>
            <w:r>
              <w:rPr>
                <w:rFonts w:ascii="Arial" w:cs="Arial" w:eastAsia="Arial" w:hAnsi="Arial"/>
                <w:sz w:val="14"/>
                <w:szCs w:val="14"/>
                <w:color w:val="auto"/>
              </w:rPr>
              <w:t>-2.9%</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219,186</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212,162</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-3.2%</w:t>
            </w:r>
          </w:p>
        </w:tc>
      </w:tr>
      <w:tr>
        <w:trPr>
          <w:trHeight w:val="149"/>
        </w:trPr>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Drafts and transfers</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59,121</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64,485</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68,526</w:t>
            </w:r>
          </w:p>
        </w:tc>
        <w:tc>
          <w:tcPr>
            <w:tcW w:w="10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6.3%</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15.9%</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163,223</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193,243</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18.4%</w:t>
            </w:r>
          </w:p>
        </w:tc>
      </w:tr>
      <w:tr>
        <w:trPr>
          <w:trHeight w:val="189"/>
        </w:trPr>
        <w:tc>
          <w:tcPr>
            <w:tcW w:w="3200" w:type="dxa"/>
            <w:vAlign w:val="bottom"/>
            <w:gridSpan w:val="2"/>
          </w:tcPr>
          <w:p>
            <w:pPr>
              <w:spacing w:after="0" w:line="189" w:lineRule="exact"/>
              <w:rPr>
                <w:sz w:val="20"/>
                <w:szCs w:val="20"/>
                <w:color w:val="auto"/>
              </w:rPr>
            </w:pPr>
            <w:r>
              <w:rPr>
                <w:rFonts w:ascii="Arial" w:cs="Arial" w:eastAsia="Arial" w:hAnsi="Arial"/>
                <w:sz w:val="13"/>
                <w:szCs w:val="13"/>
                <w:color w:val="auto"/>
              </w:rPr>
              <w:t xml:space="preserve">Personal loans </w:t>
            </w:r>
            <w:r>
              <w:rPr>
                <w:rFonts w:ascii="Arial" w:cs="Arial" w:eastAsia="Arial" w:hAnsi="Arial"/>
                <w:sz w:val="21"/>
                <w:szCs w:val="21"/>
                <w:color w:val="auto"/>
                <w:vertAlign w:val="superscript"/>
              </w:rPr>
              <w:t>(2)</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23,119</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24,922</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24,989</w:t>
            </w:r>
          </w:p>
        </w:tc>
        <w:tc>
          <w:tcPr>
            <w:tcW w:w="1040" w:type="dxa"/>
            <w:vAlign w:val="bottom"/>
            <w:gridSpan w:val="2"/>
          </w:tcPr>
          <w:p>
            <w:pPr>
              <w:jc w:val="right"/>
              <w:ind w:right="68"/>
              <w:spacing w:after="0"/>
              <w:rPr>
                <w:sz w:val="20"/>
                <w:szCs w:val="20"/>
                <w:color w:val="auto"/>
              </w:rPr>
            </w:pPr>
            <w:r>
              <w:rPr>
                <w:rFonts w:ascii="Arial" w:cs="Arial" w:eastAsia="Arial" w:hAnsi="Arial"/>
                <w:sz w:val="14"/>
                <w:szCs w:val="14"/>
                <w:color w:val="auto"/>
              </w:rPr>
              <w:t>0.3%</w:t>
            </w:r>
          </w:p>
        </w:tc>
        <w:tc>
          <w:tcPr>
            <w:tcW w:w="180" w:type="dxa"/>
            <w:vAlign w:val="bottom"/>
          </w:tcPr>
          <w:p>
            <w:pPr>
              <w:spacing w:after="0"/>
              <w:rPr>
                <w:sz w:val="16"/>
                <w:szCs w:val="16"/>
                <w:color w:val="auto"/>
              </w:rPr>
            </w:pPr>
          </w:p>
        </w:tc>
        <w:tc>
          <w:tcPr>
            <w:tcW w:w="860" w:type="dxa"/>
            <w:vAlign w:val="bottom"/>
            <w:gridSpan w:val="2"/>
          </w:tcPr>
          <w:p>
            <w:pPr>
              <w:jc w:val="right"/>
              <w:ind w:right="68"/>
              <w:spacing w:after="0"/>
              <w:rPr>
                <w:sz w:val="20"/>
                <w:szCs w:val="20"/>
                <w:color w:val="auto"/>
              </w:rPr>
            </w:pPr>
            <w:r>
              <w:rPr>
                <w:rFonts w:ascii="Arial" w:cs="Arial" w:eastAsia="Arial" w:hAnsi="Arial"/>
                <w:sz w:val="14"/>
                <w:szCs w:val="14"/>
                <w:color w:val="auto"/>
              </w:rPr>
              <w:t>8.1%</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69,418</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73,511</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5.9%</w:t>
            </w:r>
          </w:p>
        </w:tc>
      </w:tr>
      <w:tr>
        <w:trPr>
          <w:trHeight w:val="189"/>
        </w:trPr>
        <w:tc>
          <w:tcPr>
            <w:tcW w:w="320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 xml:space="preserve">SME loans </w:t>
            </w:r>
            <w:r>
              <w:rPr>
                <w:rFonts w:ascii="Arial" w:cs="Arial" w:eastAsia="Arial" w:hAnsi="Arial"/>
                <w:sz w:val="21"/>
                <w:szCs w:val="21"/>
                <w:color w:val="auto"/>
                <w:vertAlign w:val="superscript"/>
              </w:rPr>
              <w:t>(2)</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17,342</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16,971</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16,970</w:t>
            </w:r>
          </w:p>
        </w:tc>
        <w:tc>
          <w:tcPr>
            <w:tcW w:w="10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0.0%</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-2.1%</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49,562</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52,505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5.9%</w:t>
            </w:r>
          </w:p>
        </w:tc>
      </w:tr>
      <w:tr>
        <w:trPr>
          <w:trHeight w:val="189"/>
        </w:trPr>
        <w:tc>
          <w:tcPr>
            <w:tcW w:w="3200" w:type="dxa"/>
            <w:vAlign w:val="bottom"/>
            <w:gridSpan w:val="2"/>
          </w:tcPr>
          <w:p>
            <w:pPr>
              <w:spacing w:after="0" w:line="189" w:lineRule="exact"/>
              <w:rPr>
                <w:sz w:val="20"/>
                <w:szCs w:val="20"/>
                <w:color w:val="auto"/>
              </w:rPr>
            </w:pPr>
            <w:r>
              <w:rPr>
                <w:rFonts w:ascii="Arial" w:cs="Arial" w:eastAsia="Arial" w:hAnsi="Arial"/>
                <w:sz w:val="13"/>
                <w:szCs w:val="13"/>
                <w:color w:val="auto"/>
              </w:rPr>
              <w:t xml:space="preserve">Insurance </w:t>
            </w:r>
            <w:r>
              <w:rPr>
                <w:rFonts w:ascii="Arial" w:cs="Arial" w:eastAsia="Arial" w:hAnsi="Arial"/>
                <w:sz w:val="21"/>
                <w:szCs w:val="21"/>
                <w:color w:val="auto"/>
                <w:vertAlign w:val="superscript"/>
              </w:rPr>
              <w:t>(2)</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21,509</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23,544</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26,951</w:t>
            </w:r>
          </w:p>
        </w:tc>
        <w:tc>
          <w:tcPr>
            <w:tcW w:w="1040" w:type="dxa"/>
            <w:vAlign w:val="bottom"/>
            <w:gridSpan w:val="2"/>
          </w:tcPr>
          <w:p>
            <w:pPr>
              <w:jc w:val="right"/>
              <w:ind w:right="68"/>
              <w:spacing w:after="0"/>
              <w:rPr>
                <w:sz w:val="20"/>
                <w:szCs w:val="20"/>
                <w:color w:val="auto"/>
              </w:rPr>
            </w:pPr>
            <w:r>
              <w:rPr>
                <w:rFonts w:ascii="Arial" w:cs="Arial" w:eastAsia="Arial" w:hAnsi="Arial"/>
                <w:sz w:val="14"/>
                <w:szCs w:val="14"/>
                <w:color w:val="auto"/>
              </w:rPr>
              <w:t>14.5%</w:t>
            </w:r>
          </w:p>
        </w:tc>
        <w:tc>
          <w:tcPr>
            <w:tcW w:w="180" w:type="dxa"/>
            <w:vAlign w:val="bottom"/>
          </w:tcPr>
          <w:p>
            <w:pPr>
              <w:spacing w:after="0"/>
              <w:rPr>
                <w:sz w:val="16"/>
                <w:szCs w:val="16"/>
                <w:color w:val="auto"/>
              </w:rPr>
            </w:pPr>
          </w:p>
        </w:tc>
        <w:tc>
          <w:tcPr>
            <w:tcW w:w="860" w:type="dxa"/>
            <w:vAlign w:val="bottom"/>
            <w:gridSpan w:val="2"/>
          </w:tcPr>
          <w:p>
            <w:pPr>
              <w:jc w:val="right"/>
              <w:ind w:right="68"/>
              <w:spacing w:after="0"/>
              <w:rPr>
                <w:sz w:val="20"/>
                <w:szCs w:val="20"/>
                <w:color w:val="auto"/>
              </w:rPr>
            </w:pPr>
            <w:r>
              <w:rPr>
                <w:rFonts w:ascii="Arial" w:cs="Arial" w:eastAsia="Arial" w:hAnsi="Arial"/>
                <w:sz w:val="14"/>
                <w:szCs w:val="14"/>
                <w:color w:val="auto"/>
              </w:rPr>
              <w:t>25.3%</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61,627</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72,696</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18.0%</w:t>
            </w:r>
          </w:p>
        </w:tc>
      </w:tr>
      <w:tr>
        <w:trPr>
          <w:trHeight w:val="189"/>
        </w:trPr>
        <w:tc>
          <w:tcPr>
            <w:tcW w:w="320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 xml:space="preserve">Mortgage loans </w:t>
            </w:r>
            <w:r>
              <w:rPr>
                <w:rFonts w:ascii="Arial" w:cs="Arial" w:eastAsia="Arial" w:hAnsi="Arial"/>
                <w:sz w:val="21"/>
                <w:szCs w:val="21"/>
                <w:color w:val="auto"/>
                <w:vertAlign w:val="superscript"/>
              </w:rPr>
              <w:t>(2)</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10,083</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9,738</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9,213</w:t>
            </w:r>
          </w:p>
        </w:tc>
        <w:tc>
          <w:tcPr>
            <w:tcW w:w="10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-5.4%</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-8.6%</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29,028</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28,379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189"/>
        </w:trPr>
        <w:tc>
          <w:tcPr>
            <w:tcW w:w="3200" w:type="dxa"/>
            <w:vAlign w:val="bottom"/>
            <w:gridSpan w:val="2"/>
          </w:tcPr>
          <w:p>
            <w:pPr>
              <w:spacing w:after="0" w:line="189" w:lineRule="exact"/>
              <w:rPr>
                <w:sz w:val="20"/>
                <w:szCs w:val="20"/>
                <w:color w:val="auto"/>
              </w:rPr>
            </w:pPr>
            <w:r>
              <w:rPr>
                <w:rFonts w:ascii="Arial" w:cs="Arial" w:eastAsia="Arial" w:hAnsi="Arial"/>
                <w:sz w:val="13"/>
                <w:szCs w:val="13"/>
                <w:color w:val="auto"/>
              </w:rPr>
              <w:t xml:space="preserve">Off-balance sheet </w:t>
            </w:r>
            <w:r>
              <w:rPr>
                <w:rFonts w:ascii="Arial" w:cs="Arial" w:eastAsia="Arial" w:hAnsi="Arial"/>
                <w:sz w:val="21"/>
                <w:szCs w:val="21"/>
                <w:color w:val="auto"/>
                <w:vertAlign w:val="superscript"/>
              </w:rPr>
              <w:t>(3)</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51,559</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51,828</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53,954</w:t>
            </w:r>
          </w:p>
        </w:tc>
        <w:tc>
          <w:tcPr>
            <w:tcW w:w="1040" w:type="dxa"/>
            <w:vAlign w:val="bottom"/>
            <w:gridSpan w:val="2"/>
          </w:tcPr>
          <w:p>
            <w:pPr>
              <w:jc w:val="right"/>
              <w:ind w:right="68"/>
              <w:spacing w:after="0"/>
              <w:rPr>
                <w:sz w:val="20"/>
                <w:szCs w:val="20"/>
                <w:color w:val="auto"/>
              </w:rPr>
            </w:pPr>
            <w:r>
              <w:rPr>
                <w:rFonts w:ascii="Arial" w:cs="Arial" w:eastAsia="Arial" w:hAnsi="Arial"/>
                <w:sz w:val="14"/>
                <w:szCs w:val="14"/>
                <w:color w:val="auto"/>
              </w:rPr>
              <w:t>4.1%</w:t>
            </w:r>
          </w:p>
        </w:tc>
        <w:tc>
          <w:tcPr>
            <w:tcW w:w="180" w:type="dxa"/>
            <w:vAlign w:val="bottom"/>
          </w:tcPr>
          <w:p>
            <w:pPr>
              <w:spacing w:after="0"/>
              <w:rPr>
                <w:sz w:val="16"/>
                <w:szCs w:val="16"/>
                <w:color w:val="auto"/>
              </w:rPr>
            </w:pPr>
          </w:p>
        </w:tc>
        <w:tc>
          <w:tcPr>
            <w:tcW w:w="860" w:type="dxa"/>
            <w:vAlign w:val="bottom"/>
            <w:gridSpan w:val="2"/>
          </w:tcPr>
          <w:p>
            <w:pPr>
              <w:jc w:val="right"/>
              <w:ind w:right="68"/>
              <w:spacing w:after="0"/>
              <w:rPr>
                <w:sz w:val="20"/>
                <w:szCs w:val="20"/>
                <w:color w:val="auto"/>
              </w:rPr>
            </w:pPr>
            <w:r>
              <w:rPr>
                <w:rFonts w:ascii="Arial" w:cs="Arial" w:eastAsia="Arial" w:hAnsi="Arial"/>
                <w:sz w:val="14"/>
                <w:szCs w:val="14"/>
                <w:color w:val="auto"/>
              </w:rPr>
              <w:t>4.6%</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154,480</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156,961</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1.6%</w:t>
            </w:r>
          </w:p>
        </w:tc>
      </w:tr>
      <w:tr>
        <w:trPr>
          <w:trHeight w:val="189"/>
        </w:trPr>
        <w:tc>
          <w:tcPr>
            <w:tcW w:w="320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 xml:space="preserve">Payments and collections </w:t>
            </w:r>
            <w:r>
              <w:rPr>
                <w:rFonts w:ascii="Arial" w:cs="Arial" w:eastAsia="Arial" w:hAnsi="Arial"/>
                <w:sz w:val="21"/>
                <w:szCs w:val="21"/>
                <w:color w:val="auto"/>
                <w:vertAlign w:val="superscript"/>
              </w:rPr>
              <w:t>(3)</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104,346</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104,958</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108,619</w:t>
            </w:r>
          </w:p>
        </w:tc>
        <w:tc>
          <w:tcPr>
            <w:tcW w:w="10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3.5%</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4.1%</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304,616</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317,340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w:t>
            </w:r>
          </w:p>
        </w:tc>
      </w:tr>
      <w:tr>
        <w:trPr>
          <w:trHeight w:val="189"/>
        </w:trPr>
        <w:tc>
          <w:tcPr>
            <w:tcW w:w="3200" w:type="dxa"/>
            <w:vAlign w:val="bottom"/>
            <w:gridSpan w:val="2"/>
          </w:tcPr>
          <w:p>
            <w:pPr>
              <w:spacing w:after="0" w:line="189" w:lineRule="exact"/>
              <w:rPr>
                <w:sz w:val="20"/>
                <w:szCs w:val="20"/>
                <w:color w:val="auto"/>
              </w:rPr>
            </w:pPr>
            <w:r>
              <w:rPr>
                <w:rFonts w:ascii="Arial" w:cs="Arial" w:eastAsia="Arial" w:hAnsi="Arial"/>
                <w:sz w:val="13"/>
                <w:szCs w:val="13"/>
                <w:color w:val="auto"/>
              </w:rPr>
              <w:t xml:space="preserve">Commercial loans </w:t>
            </w:r>
            <w:r>
              <w:rPr>
                <w:rFonts w:ascii="Arial" w:cs="Arial" w:eastAsia="Arial" w:hAnsi="Arial"/>
                <w:sz w:val="21"/>
                <w:szCs w:val="21"/>
                <w:color w:val="auto"/>
                <w:vertAlign w:val="superscript"/>
              </w:rPr>
              <w:t>(3)(4)</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20,566</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20,823</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21,633</w:t>
            </w:r>
          </w:p>
        </w:tc>
        <w:tc>
          <w:tcPr>
            <w:tcW w:w="1040" w:type="dxa"/>
            <w:vAlign w:val="bottom"/>
            <w:gridSpan w:val="2"/>
          </w:tcPr>
          <w:p>
            <w:pPr>
              <w:jc w:val="right"/>
              <w:ind w:right="68"/>
              <w:spacing w:after="0"/>
              <w:rPr>
                <w:sz w:val="20"/>
                <w:szCs w:val="20"/>
                <w:color w:val="auto"/>
              </w:rPr>
            </w:pPr>
            <w:r>
              <w:rPr>
                <w:rFonts w:ascii="Arial" w:cs="Arial" w:eastAsia="Arial" w:hAnsi="Arial"/>
                <w:sz w:val="14"/>
                <w:szCs w:val="14"/>
                <w:color w:val="auto"/>
              </w:rPr>
              <w:t>3.9%</w:t>
            </w:r>
          </w:p>
        </w:tc>
        <w:tc>
          <w:tcPr>
            <w:tcW w:w="180" w:type="dxa"/>
            <w:vAlign w:val="bottom"/>
          </w:tcPr>
          <w:p>
            <w:pPr>
              <w:spacing w:after="0"/>
              <w:rPr>
                <w:sz w:val="16"/>
                <w:szCs w:val="16"/>
                <w:color w:val="auto"/>
              </w:rPr>
            </w:pPr>
          </w:p>
        </w:tc>
        <w:tc>
          <w:tcPr>
            <w:tcW w:w="860" w:type="dxa"/>
            <w:vAlign w:val="bottom"/>
            <w:gridSpan w:val="2"/>
          </w:tcPr>
          <w:p>
            <w:pPr>
              <w:jc w:val="right"/>
              <w:ind w:right="68"/>
              <w:spacing w:after="0"/>
              <w:rPr>
                <w:sz w:val="20"/>
                <w:szCs w:val="20"/>
                <w:color w:val="auto"/>
              </w:rPr>
            </w:pPr>
            <w:r>
              <w:rPr>
                <w:rFonts w:ascii="Arial" w:cs="Arial" w:eastAsia="Arial" w:hAnsi="Arial"/>
                <w:sz w:val="14"/>
                <w:szCs w:val="14"/>
                <w:color w:val="auto"/>
              </w:rPr>
              <w:t>5.2%</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60,562</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64,973</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7.3%</w:t>
            </w:r>
          </w:p>
        </w:tc>
      </w:tr>
      <w:tr>
        <w:trPr>
          <w:trHeight w:val="189"/>
        </w:trPr>
        <w:tc>
          <w:tcPr>
            <w:tcW w:w="320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 xml:space="preserve">Foreign trade </w:t>
            </w:r>
            <w:r>
              <w:rPr>
                <w:rFonts w:ascii="Arial" w:cs="Arial" w:eastAsia="Arial" w:hAnsi="Arial"/>
                <w:sz w:val="21"/>
                <w:szCs w:val="21"/>
                <w:color w:val="auto"/>
                <w:vertAlign w:val="superscript"/>
              </w:rPr>
              <w:t>(3)</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11,850</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9,792</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9,561</w:t>
            </w:r>
          </w:p>
        </w:tc>
        <w:tc>
          <w:tcPr>
            <w:tcW w:w="10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-2.4%</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-19.3%</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30,189</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30,330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w:t>
            </w:r>
          </w:p>
        </w:tc>
      </w:tr>
      <w:tr>
        <w:trPr>
          <w:trHeight w:val="189"/>
        </w:trPr>
        <w:tc>
          <w:tcPr>
            <w:tcW w:w="3200" w:type="dxa"/>
            <w:vAlign w:val="bottom"/>
            <w:gridSpan w:val="2"/>
          </w:tcPr>
          <w:p>
            <w:pPr>
              <w:spacing w:after="0" w:line="189" w:lineRule="exact"/>
              <w:rPr>
                <w:sz w:val="20"/>
                <w:szCs w:val="20"/>
                <w:color w:val="auto"/>
              </w:rPr>
            </w:pPr>
            <w:r>
              <w:rPr>
                <w:rFonts w:ascii="Arial" w:cs="Arial" w:eastAsia="Arial" w:hAnsi="Arial"/>
                <w:sz w:val="13"/>
                <w:szCs w:val="13"/>
                <w:color w:val="auto"/>
              </w:rPr>
              <w:t xml:space="preserve">Corporate finance and mutual funds </w:t>
            </w:r>
            <w:r>
              <w:rPr>
                <w:rFonts w:ascii="Arial" w:cs="Arial" w:eastAsia="Arial" w:hAnsi="Arial"/>
                <w:sz w:val="21"/>
                <w:szCs w:val="21"/>
                <w:color w:val="auto"/>
                <w:vertAlign w:val="superscript"/>
              </w:rPr>
              <w:t>(4)</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13,425</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21,856</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15,889</w:t>
            </w:r>
          </w:p>
        </w:tc>
        <w:tc>
          <w:tcPr>
            <w:tcW w:w="1040" w:type="dxa"/>
            <w:vAlign w:val="bottom"/>
            <w:gridSpan w:val="2"/>
          </w:tcPr>
          <w:p>
            <w:pPr>
              <w:jc w:val="right"/>
              <w:ind w:right="68"/>
              <w:spacing w:after="0"/>
              <w:rPr>
                <w:sz w:val="20"/>
                <w:szCs w:val="20"/>
                <w:color w:val="auto"/>
              </w:rPr>
            </w:pPr>
            <w:r>
              <w:rPr>
                <w:rFonts w:ascii="Arial" w:cs="Arial" w:eastAsia="Arial" w:hAnsi="Arial"/>
                <w:sz w:val="14"/>
                <w:szCs w:val="14"/>
                <w:color w:val="auto"/>
              </w:rPr>
              <w:t>-27.3%</w:t>
            </w:r>
          </w:p>
        </w:tc>
        <w:tc>
          <w:tcPr>
            <w:tcW w:w="180" w:type="dxa"/>
            <w:vAlign w:val="bottom"/>
          </w:tcPr>
          <w:p>
            <w:pPr>
              <w:spacing w:after="0"/>
              <w:rPr>
                <w:sz w:val="16"/>
                <w:szCs w:val="16"/>
                <w:color w:val="auto"/>
              </w:rPr>
            </w:pPr>
          </w:p>
        </w:tc>
        <w:tc>
          <w:tcPr>
            <w:tcW w:w="860" w:type="dxa"/>
            <w:vAlign w:val="bottom"/>
            <w:gridSpan w:val="2"/>
          </w:tcPr>
          <w:p>
            <w:pPr>
              <w:jc w:val="right"/>
              <w:ind w:right="68"/>
              <w:spacing w:after="0"/>
              <w:rPr>
                <w:sz w:val="20"/>
                <w:szCs w:val="20"/>
                <w:color w:val="auto"/>
              </w:rPr>
            </w:pPr>
            <w:r>
              <w:rPr>
                <w:rFonts w:ascii="Arial" w:cs="Arial" w:eastAsia="Arial" w:hAnsi="Arial"/>
                <w:sz w:val="14"/>
                <w:szCs w:val="14"/>
                <w:color w:val="auto"/>
              </w:rPr>
              <w:t>18.4%</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44,046</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52,806</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19.9%</w:t>
            </w:r>
          </w:p>
        </w:tc>
      </w:tr>
      <w:tr>
        <w:trPr>
          <w:trHeight w:val="189"/>
        </w:trPr>
        <w:tc>
          <w:tcPr>
            <w:tcW w:w="320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 xml:space="preserve">ASB </w:t>
            </w:r>
            <w:r>
              <w:rPr>
                <w:rFonts w:ascii="Arial" w:cs="Arial" w:eastAsia="Arial" w:hAnsi="Arial"/>
                <w:sz w:val="21"/>
                <w:szCs w:val="21"/>
                <w:color w:val="auto"/>
                <w:vertAlign w:val="superscript"/>
              </w:rPr>
              <w:t>(4)</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7,450</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11,915</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11,923</w:t>
            </w:r>
          </w:p>
        </w:tc>
        <w:tc>
          <w:tcPr>
            <w:tcW w:w="10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0.1%</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60.0%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24,104</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34,110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41.5%</w:t>
            </w:r>
          </w:p>
        </w:tc>
      </w:tr>
      <w:tr>
        <w:trPr>
          <w:trHeight w:val="203"/>
        </w:trPr>
        <w:tc>
          <w:tcPr>
            <w:tcW w:w="3200" w:type="dxa"/>
            <w:vAlign w:val="bottom"/>
            <w:gridSpan w:val="2"/>
          </w:tcPr>
          <w:p>
            <w:pPr>
              <w:spacing w:after="0" w:line="202" w:lineRule="exact"/>
              <w:rPr>
                <w:sz w:val="20"/>
                <w:szCs w:val="20"/>
                <w:color w:val="auto"/>
              </w:rPr>
            </w:pPr>
            <w:r>
              <w:rPr>
                <w:rFonts w:ascii="Arial" w:cs="Arial" w:eastAsia="Arial" w:hAnsi="Arial"/>
                <w:sz w:val="23"/>
                <w:szCs w:val="23"/>
                <w:color w:val="auto"/>
                <w:vertAlign w:val="subscript"/>
              </w:rPr>
              <w:t>Others</w:t>
            </w:r>
            <w:r>
              <w:rPr>
                <w:rFonts w:ascii="Arial" w:cs="Arial" w:eastAsia="Arial" w:hAnsi="Arial"/>
                <w:sz w:val="11"/>
                <w:szCs w:val="11"/>
                <w:color w:val="auto"/>
              </w:rPr>
              <w:t xml:space="preserve"> (4)(5)</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60,476</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73,360</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80,253</w:t>
            </w:r>
          </w:p>
        </w:tc>
        <w:tc>
          <w:tcPr>
            <w:tcW w:w="1040" w:type="dxa"/>
            <w:vAlign w:val="bottom"/>
            <w:gridSpan w:val="2"/>
          </w:tcPr>
          <w:p>
            <w:pPr>
              <w:jc w:val="right"/>
              <w:ind w:right="68"/>
              <w:spacing w:after="0"/>
              <w:rPr>
                <w:sz w:val="20"/>
                <w:szCs w:val="20"/>
                <w:color w:val="auto"/>
              </w:rPr>
            </w:pPr>
            <w:r>
              <w:rPr>
                <w:rFonts w:ascii="Arial" w:cs="Arial" w:eastAsia="Arial" w:hAnsi="Arial"/>
                <w:sz w:val="14"/>
                <w:szCs w:val="14"/>
                <w:color w:val="auto"/>
              </w:rPr>
              <w:t>9.4%</w:t>
            </w:r>
          </w:p>
        </w:tc>
        <w:tc>
          <w:tcPr>
            <w:tcW w:w="180" w:type="dxa"/>
            <w:vAlign w:val="bottom"/>
          </w:tcPr>
          <w:p>
            <w:pPr>
              <w:spacing w:after="0"/>
              <w:rPr>
                <w:sz w:val="17"/>
                <w:szCs w:val="17"/>
                <w:color w:val="auto"/>
              </w:rPr>
            </w:pPr>
          </w:p>
        </w:tc>
        <w:tc>
          <w:tcPr>
            <w:tcW w:w="860" w:type="dxa"/>
            <w:vAlign w:val="bottom"/>
            <w:gridSpan w:val="2"/>
          </w:tcPr>
          <w:p>
            <w:pPr>
              <w:jc w:val="right"/>
              <w:ind w:right="68"/>
              <w:spacing w:after="0"/>
              <w:rPr>
                <w:sz w:val="20"/>
                <w:szCs w:val="20"/>
                <w:color w:val="auto"/>
              </w:rPr>
            </w:pPr>
            <w:r>
              <w:rPr>
                <w:rFonts w:ascii="Arial" w:cs="Arial" w:eastAsia="Arial" w:hAnsi="Arial"/>
                <w:sz w:val="14"/>
                <w:szCs w:val="14"/>
                <w:color w:val="auto"/>
              </w:rPr>
              <w:t>32.7%</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182,347</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223,415</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22.5%</w:t>
            </w:r>
          </w:p>
        </w:tc>
      </w:tr>
      <w:tr>
        <w:trPr>
          <w:trHeight w:val="142"/>
        </w:trPr>
        <w:tc>
          <w:tcPr>
            <w:tcW w:w="320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fee income</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652,597</w:t>
            </w: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674,954</w:t>
            </w:r>
          </w:p>
        </w:tc>
        <w:tc>
          <w:tcPr>
            <w:tcW w:w="2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704,940</w:t>
            </w: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4.4</w:t>
            </w:r>
          </w:p>
        </w:tc>
        <w:tc>
          <w:tcPr>
            <w:tcW w:w="26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8.0</w:t>
            </w:r>
          </w:p>
        </w:tc>
        <w:tc>
          <w:tcPr>
            <w:tcW w:w="26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1,925,775</w:t>
            </w: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2,044,507</w:t>
            </w:r>
          </w:p>
        </w:tc>
        <w:tc>
          <w:tcPr>
            <w:tcW w:w="22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6.2</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BCP</w:t>
      </w:r>
    </w:p>
    <w:p>
      <w:pPr>
        <w:spacing w:after="0" w:line="23" w:lineRule="exact"/>
        <w:rPr>
          <w:sz w:val="20"/>
          <w:szCs w:val="20"/>
          <w:color w:val="auto"/>
        </w:rPr>
      </w:pPr>
    </w:p>
    <w:p>
      <w:pPr>
        <w:ind w:left="260" w:hanging="252"/>
        <w:spacing w:after="0"/>
        <w:tabs>
          <w:tab w:leader="none" w:pos="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Saving accounts, current accounts, debit card and master account.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Mainly Retail fees.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Mainly Wholesale fees.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fees from BCP Bolivia, Mibanco, network usage and other services to third parties, among others.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the </w:t>
      </w:r>
      <w:r>
        <w:rPr>
          <w:rFonts w:ascii="Arial" w:cs="Arial" w:eastAsia="Arial" w:hAnsi="Arial"/>
          <w:sz w:val="16"/>
          <w:szCs w:val="16"/>
          <w:b w:val="1"/>
          <w:bCs w:val="1"/>
          <w:color w:val="auto"/>
        </w:rPr>
        <w:t>QoQ analysis,</w:t>
      </w:r>
      <w:r>
        <w:rPr>
          <w:rFonts w:ascii="Arial" w:cs="Arial" w:eastAsia="Arial" w:hAnsi="Arial"/>
          <w:sz w:val="16"/>
          <w:szCs w:val="16"/>
          <w:color w:val="auto"/>
        </w:rPr>
        <w:t xml:space="preserve"> fee income in the banking business increased +4.4% QoQ. The components that registered the highest increase this quarter were:</w:t>
      </w:r>
    </w:p>
    <w:p>
      <w:pPr>
        <w:spacing w:after="0" w:line="248" w:lineRule="exact"/>
        <w:rPr>
          <w:sz w:val="20"/>
          <w:szCs w:val="20"/>
          <w:color w:val="auto"/>
        </w:rPr>
      </w:pPr>
    </w:p>
    <w:p>
      <w:pPr>
        <w:jc w:val="both"/>
        <w:ind w:left="880" w:hanging="494"/>
        <w:spacing w:after="0" w:line="266" w:lineRule="auto"/>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Miscellaneous accounts</w:t>
      </w:r>
      <w:r>
        <w:rPr>
          <w:rFonts w:ascii="Arial" w:cs="Arial" w:eastAsia="Arial" w:hAnsi="Arial"/>
          <w:sz w:val="18"/>
          <w:szCs w:val="18"/>
          <w:color w:val="auto"/>
        </w:rPr>
        <w:t>, mainly due to the increase in fees for debit cards due to charges for consumption to establishments and for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rate differences (exchange rate spread). Fees in the savings accounts also rose, driven by higher income for account maintenance and fund transfers between accounts from clients.</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ind w:left="880" w:hanging="494"/>
        <w:spacing w:after="0" w:line="282" w:lineRule="auto"/>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Others, </w:t>
      </w:r>
      <w:r>
        <w:rPr>
          <w:rFonts w:ascii="Arial" w:cs="Arial" w:eastAsia="Arial" w:hAnsi="Arial"/>
          <w:sz w:val="18"/>
          <w:szCs w:val="18"/>
          <w:color w:val="auto"/>
        </w:rPr>
        <w:t>due to an increase in income at BCP Bolivia due to growth in the volume of foreign drafts and transfers and at Mibanco, due to a</w:t>
      </w:r>
      <w:r>
        <w:rPr>
          <w:rFonts w:ascii="Arial" w:cs="Arial" w:eastAsia="Arial" w:hAnsi="Arial"/>
          <w:sz w:val="18"/>
          <w:szCs w:val="18"/>
          <w:b w:val="1"/>
          <w:bCs w:val="1"/>
          <w:color w:val="auto"/>
        </w:rPr>
        <w:t xml:space="preserve"> </w:t>
      </w:r>
      <w:r>
        <w:rPr>
          <w:rFonts w:ascii="Arial" w:cs="Arial" w:eastAsia="Arial" w:hAnsi="Arial"/>
          <w:sz w:val="18"/>
          <w:szCs w:val="18"/>
          <w:color w:val="auto"/>
        </w:rPr>
        <w:t>methodological change in insurance reporting, as explained in 2Q19.</w:t>
      </w:r>
    </w:p>
    <w:p>
      <w:pPr>
        <w:spacing w:after="0" w:line="161" w:lineRule="exact"/>
        <w:rPr>
          <w:rFonts w:ascii="Arial" w:cs="Arial" w:eastAsia="Arial" w:hAnsi="Arial"/>
          <w:sz w:val="18"/>
          <w:szCs w:val="18"/>
          <w:color w:val="auto"/>
        </w:rPr>
      </w:pPr>
    </w:p>
    <w:p>
      <w:pPr>
        <w:ind w:left="880" w:hanging="494"/>
        <w:spacing w:after="0" w:line="282" w:lineRule="auto"/>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Drafts and transfers, </w:t>
      </w:r>
      <w:r>
        <w:rPr>
          <w:rFonts w:ascii="Arial" w:cs="Arial" w:eastAsia="Arial" w:hAnsi="Arial"/>
          <w:sz w:val="18"/>
          <w:szCs w:val="18"/>
          <w:color w:val="auto"/>
        </w:rPr>
        <w:t>mainly due to an increase in fees for transfers from savings products; transfers to the interior of the country; interbank</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transfers; and foreign transfers.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Growth was slightly attenuated by:</w:t>
      </w:r>
    </w:p>
    <w:p>
      <w:pPr>
        <w:spacing w:after="0" w:line="221" w:lineRule="exact"/>
        <w:rPr>
          <w:sz w:val="20"/>
          <w:szCs w:val="20"/>
          <w:color w:val="auto"/>
        </w:rPr>
      </w:pPr>
    </w:p>
    <w:p>
      <w:pPr>
        <w:ind w:left="880" w:hanging="494"/>
        <w:spacing w:after="0" w:line="282" w:lineRule="auto"/>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Corporate finance and mutual funds, </w:t>
      </w:r>
      <w:r>
        <w:rPr>
          <w:rFonts w:ascii="Arial" w:cs="Arial" w:eastAsia="Arial" w:hAnsi="Arial"/>
          <w:sz w:val="18"/>
          <w:szCs w:val="18"/>
          <w:color w:val="auto"/>
        </w:rPr>
        <w:t>which was attributable to a decrease in income this quarter after income hit an unusual level in 2Q19</w:t>
      </w:r>
      <w:r>
        <w:rPr>
          <w:rFonts w:ascii="Arial" w:cs="Arial" w:eastAsia="Arial" w:hAnsi="Arial"/>
          <w:sz w:val="18"/>
          <w:szCs w:val="18"/>
          <w:b w:val="1"/>
          <w:bCs w:val="1"/>
          <w:color w:val="auto"/>
        </w:rPr>
        <w:t xml:space="preserve"> </w:t>
      </w:r>
      <w:r>
        <w:rPr>
          <w:rFonts w:ascii="Arial" w:cs="Arial" w:eastAsia="Arial" w:hAnsi="Arial"/>
          <w:sz w:val="18"/>
          <w:szCs w:val="18"/>
          <w:color w:val="auto"/>
        </w:rPr>
        <w:t>(peak since 2Q17) due to the recognition of deferred fee income for loan cancellations in June.</w:t>
      </w:r>
    </w:p>
    <w:p>
      <w:pPr>
        <w:spacing w:after="0" w:line="162" w:lineRule="exact"/>
        <w:rPr>
          <w:sz w:val="20"/>
          <w:szCs w:val="20"/>
          <w:color w:val="auto"/>
        </w:rPr>
      </w:pPr>
    </w:p>
    <w:p>
      <w:pPr>
        <w:spacing w:after="0" w:line="347" w:lineRule="auto"/>
        <w:rPr>
          <w:sz w:val="20"/>
          <w:szCs w:val="20"/>
          <w:color w:val="auto"/>
        </w:rPr>
      </w:pPr>
      <w:r>
        <w:rPr>
          <w:rFonts w:ascii="Arial" w:cs="Arial" w:eastAsia="Arial" w:hAnsi="Arial"/>
          <w:sz w:val="16"/>
          <w:szCs w:val="16"/>
          <w:color w:val="auto"/>
        </w:rPr>
        <w:t xml:space="preserve">In the </w:t>
      </w:r>
      <w:r>
        <w:rPr>
          <w:rFonts w:ascii="Arial" w:cs="Arial" w:eastAsia="Arial" w:hAnsi="Arial"/>
          <w:sz w:val="16"/>
          <w:szCs w:val="16"/>
          <w:b w:val="1"/>
          <w:bCs w:val="1"/>
          <w:color w:val="auto"/>
        </w:rPr>
        <w:t>YoY analysis</w:t>
      </w:r>
      <w:r>
        <w:rPr>
          <w:rFonts w:ascii="Arial" w:cs="Arial" w:eastAsia="Arial" w:hAnsi="Arial"/>
          <w:sz w:val="16"/>
          <w:szCs w:val="16"/>
          <w:color w:val="auto"/>
        </w:rPr>
        <w:t xml:space="preserve">, the +8.0% growth was attributable to the same factors that drove the increase in income QoQ. The aforementioned offset the drop in income for </w:t>
      </w:r>
      <w:r>
        <w:rPr>
          <w:rFonts w:ascii="Arial" w:cs="Arial" w:eastAsia="Arial" w:hAnsi="Arial"/>
          <w:sz w:val="16"/>
          <w:szCs w:val="16"/>
          <w:b w:val="1"/>
          <w:bCs w:val="1"/>
          <w:color w:val="auto"/>
        </w:rPr>
        <w:t>Foreign Trade,</w:t>
      </w:r>
      <w:r>
        <w:rPr>
          <w:rFonts w:ascii="Arial" w:cs="Arial" w:eastAsia="Arial" w:hAnsi="Arial"/>
          <w:sz w:val="16"/>
          <w:szCs w:val="16"/>
          <w:color w:val="auto"/>
        </w:rPr>
        <w:t xml:space="preserve"> after lower fees were reported due to letters of credit for import and export, and </w:t>
      </w:r>
      <w:r>
        <w:rPr>
          <w:rFonts w:ascii="Arial" w:cs="Arial" w:eastAsia="Arial" w:hAnsi="Arial"/>
          <w:sz w:val="16"/>
          <w:szCs w:val="16"/>
          <w:b w:val="1"/>
          <w:bCs w:val="1"/>
          <w:color w:val="auto"/>
        </w:rPr>
        <w:t>Credit Cards</w:t>
      </w:r>
      <w:r>
        <w:rPr>
          <w:rFonts w:ascii="Arial" w:cs="Arial" w:eastAsia="Arial" w:hAnsi="Arial"/>
          <w:sz w:val="16"/>
          <w:szCs w:val="16"/>
          <w:color w:val="auto"/>
        </w:rPr>
        <w:t xml:space="preserve"> due to a decrease in billing levels.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YTD</w:t>
      </w:r>
      <w:r>
        <w:rPr>
          <w:rFonts w:ascii="Arial" w:cs="Arial" w:eastAsia="Arial" w:hAnsi="Arial"/>
          <w:sz w:val="18"/>
          <w:szCs w:val="18"/>
          <w:color w:val="auto"/>
        </w:rPr>
        <w:t xml:space="preserve"> analysis </w:t>
      </w:r>
      <w:r>
        <w:rPr>
          <w:rFonts w:ascii="Arial" w:cs="Arial" w:eastAsia="Arial" w:hAnsi="Arial"/>
          <w:sz w:val="18"/>
          <w:szCs w:val="18"/>
          <w:b w:val="1"/>
          <w:bCs w:val="1"/>
          <w:color w:val="auto"/>
        </w:rPr>
        <w:t>(Sep 19 vs Sep 18),</w:t>
      </w:r>
      <w:r>
        <w:rPr>
          <w:rFonts w:ascii="Arial" w:cs="Arial" w:eastAsia="Arial" w:hAnsi="Arial"/>
          <w:sz w:val="18"/>
          <w:szCs w:val="18"/>
          <w:color w:val="auto"/>
        </w:rPr>
        <w:t xml:space="preserve"> fee income in the banking business increased +6.2% due to:</w:t>
      </w:r>
    </w:p>
    <w:p>
      <w:pPr>
        <w:spacing w:after="0" w:line="225" w:lineRule="exact"/>
        <w:rPr>
          <w:sz w:val="20"/>
          <w:szCs w:val="20"/>
          <w:color w:val="auto"/>
        </w:rPr>
      </w:pPr>
    </w:p>
    <w:p>
      <w:pPr>
        <w:jc w:val="both"/>
        <w:ind w:left="880" w:right="20" w:hanging="494"/>
        <w:spacing w:after="0" w:line="266" w:lineRule="auto"/>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Others</w:t>
      </w:r>
      <w:r>
        <w:rPr>
          <w:rFonts w:ascii="Arial" w:cs="Arial" w:eastAsia="Arial" w:hAnsi="Arial"/>
          <w:sz w:val="18"/>
          <w:szCs w:val="18"/>
          <w:color w:val="auto"/>
        </w:rPr>
        <w:t>, primarily at Mibanco, due to an increase in insurance income, and at BCP Bolivia due to an increase in foreign drafts and transfers and</w:t>
      </w:r>
      <w:r>
        <w:rPr>
          <w:rFonts w:ascii="Arial" w:cs="Arial" w:eastAsia="Arial" w:hAnsi="Arial"/>
          <w:sz w:val="18"/>
          <w:szCs w:val="18"/>
          <w:b w:val="1"/>
          <w:bCs w:val="1"/>
          <w:color w:val="auto"/>
        </w:rPr>
        <w:t xml:space="preserve"> </w:t>
      </w:r>
      <w:r>
        <w:rPr>
          <w:rFonts w:ascii="Arial" w:cs="Arial" w:eastAsia="Arial" w:hAnsi="Arial"/>
          <w:sz w:val="18"/>
          <w:szCs w:val="18"/>
          <w:color w:val="auto"/>
        </w:rPr>
        <w:t>for fees in the contingent portfolio. The aforementioned led Others to increase their share of total fees for banking services to 10.9% in Sep 19 (vs 9.5% in Sep 18).</w:t>
      </w:r>
    </w:p>
    <w:p>
      <w:pPr>
        <w:spacing w:after="0" w:line="176" w:lineRule="exact"/>
        <w:rPr>
          <w:rFonts w:ascii="Arial" w:cs="Arial" w:eastAsia="Arial" w:hAnsi="Arial"/>
          <w:sz w:val="18"/>
          <w:szCs w:val="18"/>
          <w:color w:val="auto"/>
        </w:rPr>
      </w:pPr>
    </w:p>
    <w:p>
      <w:pPr>
        <w:ind w:left="880" w:right="20" w:hanging="494"/>
        <w:spacing w:after="0" w:line="282" w:lineRule="auto"/>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The increase in </w:t>
      </w:r>
      <w:r>
        <w:rPr>
          <w:rFonts w:ascii="Arial" w:cs="Arial" w:eastAsia="Arial" w:hAnsi="Arial"/>
          <w:sz w:val="18"/>
          <w:szCs w:val="18"/>
          <w:b w:val="1"/>
          <w:bCs w:val="1"/>
          <w:color w:val="auto"/>
        </w:rPr>
        <w:t>Drafts and Transfers</w:t>
      </w:r>
      <w:r>
        <w:rPr>
          <w:rFonts w:ascii="Arial" w:cs="Arial" w:eastAsia="Arial" w:hAnsi="Arial"/>
          <w:sz w:val="18"/>
          <w:szCs w:val="18"/>
          <w:color w:val="auto"/>
        </w:rPr>
        <w:t xml:space="preserve"> due to growth in domestic transfers, foreign transfers and interbank transfers, which was attributable to an increase in transactional activity.</w:t>
      </w:r>
    </w:p>
    <w:p>
      <w:pPr>
        <w:spacing w:after="0" w:line="161" w:lineRule="exact"/>
        <w:rPr>
          <w:rFonts w:ascii="Arial" w:cs="Arial" w:eastAsia="Arial" w:hAnsi="Arial"/>
          <w:sz w:val="18"/>
          <w:szCs w:val="18"/>
          <w:color w:val="auto"/>
        </w:rPr>
      </w:pPr>
    </w:p>
    <w:p>
      <w:pPr>
        <w:ind w:left="880" w:hanging="494"/>
        <w:spacing w:after="0" w:line="282" w:lineRule="auto"/>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An increase in the level of </w:t>
      </w:r>
      <w:r>
        <w:rPr>
          <w:rFonts w:ascii="Arial" w:cs="Arial" w:eastAsia="Arial" w:hAnsi="Arial"/>
          <w:sz w:val="18"/>
          <w:szCs w:val="18"/>
          <w:b w:val="1"/>
          <w:bCs w:val="1"/>
          <w:color w:val="auto"/>
        </w:rPr>
        <w:t>Payments and collections</w:t>
      </w:r>
      <w:r>
        <w:rPr>
          <w:rFonts w:ascii="Arial" w:cs="Arial" w:eastAsia="Arial" w:hAnsi="Arial"/>
          <w:sz w:val="18"/>
          <w:szCs w:val="18"/>
          <w:color w:val="auto"/>
        </w:rPr>
        <w:t xml:space="preserve"> due to an increase in commissions for collections services, payments for company services and collections for insurance products for clients.</w:t>
      </w:r>
    </w:p>
    <w:p>
      <w:pPr>
        <w:spacing w:after="0" w:line="16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 xml:space="preserve">The aforementioned offset the drop in </w:t>
      </w:r>
      <w:r>
        <w:rPr>
          <w:rFonts w:ascii="Arial" w:cs="Arial" w:eastAsia="Arial" w:hAnsi="Arial"/>
          <w:sz w:val="18"/>
          <w:szCs w:val="18"/>
          <w:b w:val="1"/>
          <w:bCs w:val="1"/>
          <w:color w:val="auto"/>
        </w:rPr>
        <w:t>Credit Cards</w:t>
      </w:r>
      <w:r>
        <w:rPr>
          <w:rFonts w:ascii="Arial" w:cs="Arial" w:eastAsia="Arial" w:hAnsi="Arial"/>
          <w:sz w:val="18"/>
          <w:szCs w:val="18"/>
          <w:color w:val="auto"/>
        </w:rPr>
        <w:t xml:space="preserve">, which was attributable to the same factors discussed in the YoY analysis, and to </w:t>
      </w:r>
      <w:r>
        <w:rPr>
          <w:rFonts w:ascii="Arial" w:cs="Arial" w:eastAsia="Arial" w:hAnsi="Arial"/>
          <w:sz w:val="18"/>
          <w:szCs w:val="18"/>
          <w:b w:val="1"/>
          <w:bCs w:val="1"/>
          <w:color w:val="auto"/>
        </w:rPr>
        <w:t>Miscellaneous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Accounts </w:t>
      </w:r>
      <w:r>
        <w:rPr>
          <w:rFonts w:ascii="Arial" w:cs="Arial" w:eastAsia="Arial" w:hAnsi="Arial"/>
          <w:sz w:val="18"/>
          <w:szCs w:val="18"/>
          <w:color w:val="auto"/>
        </w:rPr>
        <w:t>due to a decrease in income from account maintenance.</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6. Insurance Underwriting Result</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The insurance underwriting result increased 6.0% QoQ due to an increase in the net earned premium in life insurance and property and casualty business (P&amp;C), which was attenuated by an increase in the net claims and higher acquisition costs in both businesses. The YoY underwriting result increased 3.7% and 1.0% YTD, which was attributable to an increase in net earned premiums in P&amp;C and Life businesses and to a decrease in the acquisition costs for life insurance business. The aforementioned was offset by an increase in net claims for both businesses.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60" w:type="dxa"/>
            <w:vAlign w:val="bottom"/>
            <w:gridSpan w:val="2"/>
          </w:tcPr>
          <w:p>
            <w:pPr>
              <w:spacing w:after="0"/>
              <w:rPr>
                <w:sz w:val="20"/>
                <w:szCs w:val="20"/>
                <w:color w:val="auto"/>
              </w:rPr>
            </w:pPr>
            <w:r>
              <w:rPr>
                <w:rFonts w:ascii="Arial" w:cs="Arial" w:eastAsia="Arial" w:hAnsi="Arial"/>
                <w:sz w:val="16"/>
                <w:szCs w:val="16"/>
                <w:b w:val="1"/>
                <w:bCs w:val="1"/>
                <w:color w:val="auto"/>
              </w:rPr>
              <w:t>Insurance underwriting result</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Quarter</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gridSpan w:val="3"/>
          </w:tcPr>
          <w:p>
            <w:pPr>
              <w:spacing w:after="0"/>
              <w:rPr>
                <w:sz w:val="20"/>
                <w:szCs w:val="20"/>
                <w:color w:val="auto"/>
              </w:rPr>
            </w:pPr>
            <w:r>
              <w:rPr>
                <w:rFonts w:ascii="Arial" w:cs="Arial" w:eastAsia="Arial" w:hAnsi="Arial"/>
                <w:sz w:val="16"/>
                <w:szCs w:val="16"/>
                <w:b w:val="1"/>
                <w:bCs w:val="1"/>
                <w:color w:val="auto"/>
                <w:w w:val="90"/>
              </w:rPr>
              <w:t>% change</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3"/>
          </w:tcPr>
          <w:p>
            <w:pPr>
              <w:ind w:left="720"/>
              <w:spacing w:after="0"/>
              <w:rPr>
                <w:sz w:val="20"/>
                <w:szCs w:val="20"/>
                <w:color w:val="auto"/>
              </w:rPr>
            </w:pPr>
            <w:r>
              <w:rPr>
                <w:rFonts w:ascii="Arial" w:cs="Arial" w:eastAsia="Arial" w:hAnsi="Arial"/>
                <w:sz w:val="16"/>
                <w:szCs w:val="16"/>
                <w:b w:val="1"/>
                <w:bCs w:val="1"/>
                <w:color w:val="auto"/>
              </w:rPr>
              <w:t>YTD</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 change</w:t>
            </w:r>
          </w:p>
        </w:tc>
        <w:tc>
          <w:tcPr>
            <w:tcW w:w="0" w:type="dxa"/>
            <w:vAlign w:val="bottom"/>
          </w:tcPr>
          <w:p>
            <w:pPr>
              <w:spacing w:after="0"/>
              <w:rPr>
                <w:sz w:val="1"/>
                <w:szCs w:val="1"/>
                <w:color w:val="auto"/>
              </w:rPr>
            </w:pPr>
          </w:p>
        </w:tc>
      </w:tr>
      <w:tr>
        <w:trPr>
          <w:trHeight w:val="219"/>
        </w:trPr>
        <w:tc>
          <w:tcPr>
            <w:tcW w:w="29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 000</w:t>
            </w:r>
          </w:p>
        </w:tc>
        <w:tc>
          <w:tcPr>
            <w:tcW w:w="2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3Q18</w:t>
            </w:r>
          </w:p>
        </w:tc>
        <w:tc>
          <w:tcPr>
            <w:tcW w:w="2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2Q19</w:t>
            </w:r>
          </w:p>
        </w:tc>
        <w:tc>
          <w:tcPr>
            <w:tcW w:w="2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3Q19</w:t>
            </w:r>
          </w:p>
        </w:tc>
        <w:tc>
          <w:tcPr>
            <w:tcW w:w="2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w w:val="86"/>
              </w:rPr>
              <w:t>QoQ</w:t>
            </w: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YoY</w:t>
            </w:r>
          </w:p>
        </w:tc>
        <w:tc>
          <w:tcPr>
            <w:tcW w:w="28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Sep 18</w:t>
            </w:r>
          </w:p>
        </w:tc>
        <w:tc>
          <w:tcPr>
            <w:tcW w:w="2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Sep 19</w:t>
            </w:r>
          </w:p>
        </w:tc>
        <w:tc>
          <w:tcPr>
            <w:tcW w:w="2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Sep 19 / Sep 18</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Net earned premiums</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536,277</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590,066</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612,534</w:t>
            </w: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3.8%</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14.2%</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1,556,984</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1,789,756</w:t>
            </w: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10"/>
        </w:trPr>
        <w:tc>
          <w:tcPr>
            <w:tcW w:w="3160" w:type="dxa"/>
            <w:vAlign w:val="bottom"/>
            <w:gridSpan w:val="2"/>
          </w:tcPr>
          <w:p>
            <w:pPr>
              <w:spacing w:after="0"/>
              <w:rPr>
                <w:sz w:val="20"/>
                <w:szCs w:val="20"/>
                <w:color w:val="auto"/>
              </w:rPr>
            </w:pPr>
            <w:r>
              <w:rPr>
                <w:rFonts w:ascii="Arial" w:cs="Arial" w:eastAsia="Arial" w:hAnsi="Arial"/>
                <w:sz w:val="16"/>
                <w:szCs w:val="16"/>
                <w:color w:val="auto"/>
              </w:rPr>
              <w:t>Net claims</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(318,644)</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(379,718)</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(392,520)</w:t>
            </w:r>
          </w:p>
        </w:tc>
        <w:tc>
          <w:tcPr>
            <w:tcW w:w="540" w:type="dxa"/>
            <w:vAlign w:val="bottom"/>
          </w:tcPr>
          <w:p>
            <w:pPr>
              <w:spacing w:after="0"/>
              <w:rPr>
                <w:sz w:val="18"/>
                <w:szCs w:val="18"/>
                <w:color w:val="auto"/>
              </w:rPr>
            </w:pPr>
          </w:p>
        </w:tc>
        <w:tc>
          <w:tcPr>
            <w:tcW w:w="480" w:type="dxa"/>
            <w:vAlign w:val="bottom"/>
            <w:gridSpan w:val="2"/>
          </w:tcPr>
          <w:p>
            <w:pPr>
              <w:ind w:left="20"/>
              <w:spacing w:after="0"/>
              <w:rPr>
                <w:sz w:val="20"/>
                <w:szCs w:val="20"/>
                <w:color w:val="auto"/>
              </w:rPr>
            </w:pPr>
            <w:r>
              <w:rPr>
                <w:rFonts w:ascii="Arial" w:cs="Arial" w:eastAsia="Arial" w:hAnsi="Arial"/>
                <w:sz w:val="16"/>
                <w:szCs w:val="16"/>
                <w:color w:val="auto"/>
              </w:rPr>
              <w:t>3.4%</w:t>
            </w:r>
          </w:p>
        </w:tc>
        <w:tc>
          <w:tcPr>
            <w:tcW w:w="2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23.2%</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(914,234)</w:t>
            </w:r>
          </w:p>
        </w:tc>
        <w:tc>
          <w:tcPr>
            <w:tcW w:w="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w w:val="92"/>
              </w:rPr>
              <w:t>(1,158,759)</w:t>
            </w: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49"/>
        </w:trPr>
        <w:tc>
          <w:tcPr>
            <w:tcW w:w="3160" w:type="dxa"/>
            <w:vAlign w:val="bottom"/>
            <w:gridSpan w:val="2"/>
            <w:shd w:val="clear" w:color="auto" w:fill="CCEEFF"/>
          </w:tcPr>
          <w:p>
            <w:pPr>
              <w:spacing w:after="0" w:line="249" w:lineRule="exact"/>
              <w:rPr>
                <w:sz w:val="20"/>
                <w:szCs w:val="20"/>
                <w:color w:val="auto"/>
              </w:rPr>
            </w:pPr>
            <w:r>
              <w:rPr>
                <w:rFonts w:ascii="Arial" w:cs="Arial" w:eastAsia="Arial" w:hAnsi="Arial"/>
                <w:sz w:val="16"/>
                <w:szCs w:val="16"/>
                <w:color w:val="auto"/>
              </w:rPr>
              <w:t xml:space="preserve">Acquisition cost </w:t>
            </w:r>
            <w:r>
              <w:rPr>
                <w:rFonts w:ascii="Arial" w:cs="Arial" w:eastAsia="Arial" w:hAnsi="Arial"/>
                <w:sz w:val="27"/>
                <w:szCs w:val="27"/>
                <w:color w:val="auto"/>
                <w:vertAlign w:val="superscript"/>
              </w:rPr>
              <w:t>(1)</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(96,382)</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(91,666)</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(94,239)</w:t>
            </w:r>
          </w:p>
        </w:tc>
        <w:tc>
          <w:tcPr>
            <w:tcW w:w="540" w:type="dxa"/>
            <w:vAlign w:val="bottom"/>
            <w:shd w:val="clear" w:color="auto" w:fill="CCEEFF"/>
          </w:tcPr>
          <w:p>
            <w:pPr>
              <w:spacing w:after="0"/>
              <w:rPr>
                <w:sz w:val="21"/>
                <w:szCs w:val="21"/>
                <w:color w:val="auto"/>
              </w:rPr>
            </w:pPr>
          </w:p>
        </w:tc>
        <w:tc>
          <w:tcPr>
            <w:tcW w:w="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2.8%</w:t>
            </w:r>
          </w:p>
        </w:tc>
        <w:tc>
          <w:tcPr>
            <w:tcW w:w="2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(292,486)</w:t>
            </w:r>
          </w:p>
        </w:tc>
        <w:tc>
          <w:tcPr>
            <w:tcW w:w="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(277,186)</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Total insurance underwriting result</w:t>
            </w: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gridSpan w:val="2"/>
            <w:vMerge w:val="continue"/>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121,251</w:t>
            </w:r>
          </w:p>
        </w:tc>
        <w:tc>
          <w:tcPr>
            <w:tcW w:w="220" w:type="dxa"/>
            <w:vAlign w:val="bottom"/>
            <w:vMerge w:val="continue"/>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118,682</w:t>
            </w:r>
          </w:p>
        </w:tc>
        <w:tc>
          <w:tcPr>
            <w:tcW w:w="220" w:type="dxa"/>
            <w:vAlign w:val="bottom"/>
            <w:vMerge w:val="continue"/>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125,775</w:t>
            </w:r>
          </w:p>
        </w:tc>
        <w:tc>
          <w:tcPr>
            <w:tcW w:w="22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gridSpan w:val="2"/>
          </w:tcPr>
          <w:p>
            <w:pPr>
              <w:ind w:left="20"/>
              <w:spacing w:after="0"/>
              <w:rPr>
                <w:sz w:val="20"/>
                <w:szCs w:val="20"/>
                <w:color w:val="auto"/>
              </w:rPr>
            </w:pPr>
            <w:r>
              <w:rPr>
                <w:rFonts w:ascii="Arial" w:cs="Arial" w:eastAsia="Arial" w:hAnsi="Arial"/>
                <w:sz w:val="16"/>
                <w:szCs w:val="16"/>
                <w:b w:val="1"/>
                <w:bCs w:val="1"/>
                <w:color w:val="auto"/>
              </w:rPr>
              <w:t>6.0%</w:t>
            </w:r>
          </w:p>
        </w:tc>
        <w:tc>
          <w:tcPr>
            <w:tcW w:w="22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3.7%</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350,264</w:t>
            </w:r>
          </w:p>
        </w:tc>
        <w:tc>
          <w:tcPr>
            <w:tcW w:w="2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353,811</w:t>
            </w:r>
          </w:p>
        </w:tc>
        <w:tc>
          <w:tcPr>
            <w:tcW w:w="220" w:type="dxa"/>
            <w:vAlign w:val="bottom"/>
            <w:vMerge w:val="continue"/>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b w:val="1"/>
                <w:bCs w:val="1"/>
                <w:color w:val="auto"/>
              </w:rPr>
              <w:t>1.0%</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Includes net fees and underwriting expenses.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underwriting result by business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1617345</wp:posOffset>
            </wp:positionH>
            <wp:positionV relativeFrom="paragraph">
              <wp:posOffset>142875</wp:posOffset>
            </wp:positionV>
            <wp:extent cx="3996055" cy="19037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996055" cy="190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QoQ analysis, the improvement in the underwriting result was attributable mainly to the life insurance business and to a lesser extent, to the P&amp;C business. In life insurance business, the increase was due to growth in net premiums in Annuities, Credit Life and Group Life, which was attenuated by an increase in net claims in Credit Life and Annuities lines, and to a lesser extent, in Individual Life, and to the increase in acquisition cost due to higher commissions, particularly in Credit Life and Group Life, in line with the increase in net premiums. In the P&amp;C business, the increase in the result is due to an increase in net earned premiums in the Medical Assistance, Personal Lines and Commercial lines, which was attenuated by an increase in net claims in the Medical Assistance and Personal lines.</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YoY analysis, the increase in the underwriting result is attributable to the life insurance business; growth was attenuated by the P&amp;C business. In the life insurance business, the variation was due to an increase in the net earned premium in Disability and Survivorship (D&amp;S) lines and in Credit Life and to a decrease in the acquisition cost, which was attributable to a drop in commissions in Credit Life. This was attenuated by an increase in net claims in D&amp;S, Annuities, Credit Life and Individual Life lines. In the P&amp;C business, the decrease is due to an increase in net claims in the Medical Assistance, Cars and Commercial lines and to growth in the acquisition cost due to higher commissions in Personal Lines, Cars and the Commercial lines. These effects were mitigated by the increase in net earned premium, which was attributable to Medical Assistance, Personal Lines and Cars.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YTD analysis, in 2019 the underwriting result reported an increase of +1.0%, which was primarily attributable to an improvement in the P&amp;C business due to an increase in the net earned premium for Personal Lines, Medical Assistance and the Car Line. This was attenuated by an increase in net claims in life insurance business, which was mainly driven by the D&amp;S lines and to a lesser extent, by Annuities and Credit Life.</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color w:val="auto"/>
        </w:rPr>
        <w:t>6.1. Net earned premiums</w:t>
      </w:r>
    </w:p>
    <w:p>
      <w:pPr>
        <w:sectPr>
          <w:pgSz w:w="11900" w:h="16838" w:orient="portrait"/>
          <w:cols w:equalWidth="0" w:num="1">
            <w:col w:w="11420"/>
          </w:cols>
          <w:pgMar w:left="240" w:top="904" w:right="239" w:bottom="1440" w:gutter="0" w:footer="0" w:header="0"/>
        </w:sectPr>
      </w:pPr>
    </w:p>
    <w:p>
      <w:pPr>
        <w:spacing w:after="0" w:line="248" w:lineRule="exact"/>
        <w:rPr>
          <w:sz w:val="20"/>
          <w:szCs w:val="20"/>
          <w:color w:val="auto"/>
        </w:rPr>
      </w:pPr>
    </w:p>
    <w:p>
      <w:pPr>
        <w:jc w:val="center"/>
        <w:ind w:right="940"/>
        <w:spacing w:after="0"/>
        <w:rPr>
          <w:sz w:val="20"/>
          <w:szCs w:val="20"/>
          <w:color w:val="auto"/>
        </w:rPr>
      </w:pPr>
      <w:r>
        <w:rPr>
          <w:rFonts w:ascii="Arial" w:cs="Arial" w:eastAsia="Arial" w:hAnsi="Arial"/>
          <w:sz w:val="16"/>
          <w:szCs w:val="16"/>
          <w:b w:val="1"/>
          <w:bCs w:val="1"/>
          <w:color w:val="auto"/>
        </w:rPr>
        <w:t>Written premiums by business</w:t>
      </w:r>
    </w:p>
    <w:p>
      <w:pPr>
        <w:spacing w:after="0" w:line="50" w:lineRule="exact"/>
        <w:rPr>
          <w:sz w:val="20"/>
          <w:szCs w:val="20"/>
          <w:color w:val="auto"/>
        </w:rPr>
      </w:pPr>
    </w:p>
    <w:p>
      <w:pPr>
        <w:jc w:val="center"/>
        <w:ind w:right="940"/>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142875</wp:posOffset>
            </wp:positionV>
            <wp:extent cx="2975610" cy="15436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975610" cy="15436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1440"/>
        <w:spacing w:after="0"/>
        <w:rPr>
          <w:sz w:val="20"/>
          <w:szCs w:val="20"/>
          <w:color w:val="auto"/>
        </w:rPr>
      </w:pPr>
      <w:r>
        <w:rPr>
          <w:rFonts w:ascii="Arial" w:cs="Arial" w:eastAsia="Arial" w:hAnsi="Arial"/>
          <w:sz w:val="15"/>
          <w:szCs w:val="15"/>
          <w:b w:val="1"/>
          <w:bCs w:val="1"/>
          <w:color w:val="auto"/>
        </w:rPr>
        <w:t>Net earned premiums by business</w:t>
      </w:r>
    </w:p>
    <w:p>
      <w:pPr>
        <w:spacing w:after="0" w:line="62"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168910</wp:posOffset>
            </wp:positionV>
            <wp:extent cx="2889885" cy="15176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89885" cy="15176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80" w:space="720"/>
            <w:col w:w="4020"/>
          </w:cols>
          <w:pgMar w:left="240" w:top="90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Written premiums </w:t>
      </w:r>
      <w:r>
        <w:rPr>
          <w:rFonts w:ascii="Arial" w:cs="Arial" w:eastAsia="Arial" w:hAnsi="Arial"/>
          <w:sz w:val="17"/>
          <w:szCs w:val="17"/>
          <w:color w:val="auto"/>
        </w:rPr>
        <w:t>decreased -9.6% QoQ, which was primarily attributable to P&amp;C business and, to a lesser extent, to the life insurance business:</w:t>
      </w:r>
    </w:p>
    <w:p>
      <w:pPr>
        <w:spacing w:after="0" w:line="241" w:lineRule="exact"/>
        <w:rPr>
          <w:sz w:val="20"/>
          <w:szCs w:val="20"/>
          <w:color w:val="auto"/>
        </w:rPr>
      </w:pPr>
    </w:p>
    <w:p>
      <w:pPr>
        <w:jc w:val="both"/>
        <w:ind w:left="880" w:right="20" w:hanging="494"/>
        <w:spacing w:after="0" w:line="264" w:lineRule="auto"/>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P&amp;C business decreased in (i) Commercial Lines due to aviation and fire risks, given that last quarter, new accounts led to an increase in written premiums, (ii) Cars due to lower production in the brokers and alliance channel, (iii) Medical Assistance due to a decrease in comprehensive insurance policies and (iv) Personal Lines due to drop in renewals this quarter.</w:t>
      </w:r>
    </w:p>
    <w:p>
      <w:pPr>
        <w:spacing w:after="0" w:line="181" w:lineRule="exact"/>
        <w:rPr>
          <w:rFonts w:ascii="Arial" w:cs="Arial" w:eastAsia="Arial" w:hAnsi="Arial"/>
          <w:sz w:val="18"/>
          <w:szCs w:val="18"/>
          <w:color w:val="auto"/>
        </w:rPr>
      </w:pPr>
    </w:p>
    <w:p>
      <w:pPr>
        <w:jc w:val="both"/>
        <w:ind w:left="880" w:hanging="494"/>
        <w:spacing w:after="0" w:line="286" w:lineRule="auto"/>
        <w:tabs>
          <w:tab w:leader="none" w:pos="8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Life insurance business also posted a decrease, albeit smaller than that registered in P &amp; C. The decrease in life was attributable to a drop in sales in Annuities, which was primarily seen in the particular individual annuity line, and to D&amp;S, which reported higher premiums in the second quarter. This effect was mitigated by higher production in Credit Life and Individual Life through the bancassurance channel.</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Net earned premiums </w:t>
      </w:r>
      <w:r>
        <w:rPr>
          <w:rFonts w:ascii="Arial" w:cs="Arial" w:eastAsia="Arial" w:hAnsi="Arial"/>
          <w:sz w:val="18"/>
          <w:szCs w:val="18"/>
          <w:color w:val="auto"/>
        </w:rPr>
        <w:t>increased +3.8% QoQ. This growth was driven by both the life insurance and P&amp;C businesses. Life insurance registered growth in (i)</w:t>
      </w:r>
      <w:r>
        <w:rPr>
          <w:rFonts w:ascii="Arial" w:cs="Arial" w:eastAsia="Arial" w:hAnsi="Arial"/>
          <w:sz w:val="18"/>
          <w:szCs w:val="18"/>
          <w:b w:val="1"/>
          <w:bCs w:val="1"/>
          <w:color w:val="auto"/>
        </w:rPr>
        <w:t xml:space="preserve"> </w:t>
      </w:r>
      <w:r>
        <w:rPr>
          <w:rFonts w:ascii="Arial" w:cs="Arial" w:eastAsia="Arial" w:hAnsi="Arial"/>
          <w:sz w:val="18"/>
          <w:szCs w:val="18"/>
          <w:color w:val="auto"/>
        </w:rPr>
        <w:t>Annuities, due to a decrease in underwriting reserves in line with the evolution of total premiums described above (ii) an increase in sales of Credit Life through the bancassurance channel and (iii) Group Life due to SCTR and Collective Life, which was attributable to policy renewals at mining companies. The P&amp;C business registered an increase, which was primarily due to growth in the Medical Assistance and Personal Lines due to drop in provisions for unexpired risks, in line with a decrease in premiums that are billed annually.</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the YoY analysis, </w:t>
      </w:r>
      <w:r>
        <w:rPr>
          <w:rFonts w:ascii="Arial" w:cs="Arial" w:eastAsia="Arial" w:hAnsi="Arial"/>
          <w:sz w:val="16"/>
          <w:szCs w:val="16"/>
          <w:b w:val="1"/>
          <w:bCs w:val="1"/>
          <w:color w:val="auto"/>
        </w:rPr>
        <w:t>Total premiums</w:t>
      </w:r>
      <w:r>
        <w:rPr>
          <w:rFonts w:ascii="Arial" w:cs="Arial" w:eastAsia="Arial" w:hAnsi="Arial"/>
          <w:sz w:val="16"/>
          <w:szCs w:val="16"/>
          <w:color w:val="auto"/>
        </w:rPr>
        <w:t xml:space="preserve"> decreased -1.1% primarily through the P&amp;C business, mitigated by life insurance business. In the P&amp;C business, the reduction is attributable to a decrease in the Commercial Lines, specifically in the fire segment (annual renewal with Petroperu and Unacem in 3Q18), and to Cars, where the decrease was mainly attributable to a drop in production. In life insurance business, the increase was attributable to higher premiums for the</w:t>
      </w:r>
    </w:p>
    <w:p>
      <w:pPr>
        <w:spacing w:after="0" w:line="2"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auto"/>
        </w:rPr>
        <w:t>D&amp;S lines, which was due to the fact that in January 2019, the company won two tranches of the tender process for SISCO IV contract</w:t>
      </w:r>
      <w:r>
        <w:rPr>
          <w:rFonts w:ascii="Arial" w:cs="Arial" w:eastAsia="Arial" w:hAnsi="Arial"/>
          <w:sz w:val="30"/>
          <w:szCs w:val="30"/>
          <w:color w:val="auto"/>
          <w:vertAlign w:val="superscript"/>
        </w:rPr>
        <w:t>4</w:t>
      </w:r>
      <w:r>
        <w:rPr>
          <w:rFonts w:ascii="Arial" w:cs="Arial" w:eastAsia="Arial" w:hAnsi="Arial"/>
          <w:sz w:val="18"/>
          <w:szCs w:val="18"/>
          <w:color w:val="auto"/>
        </w:rPr>
        <w:t xml:space="preserve"> (2019-2020) , which compares favorably with the single tranche under SISCO III (2017-2018); this was attenuated by a decrease in Annuities line.</w:t>
      </w:r>
    </w:p>
    <w:p>
      <w:pPr>
        <w:spacing w:after="0" w:line="19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Net earned premiums </w:t>
      </w:r>
      <w:r>
        <w:rPr>
          <w:rFonts w:ascii="Arial" w:cs="Arial" w:eastAsia="Arial" w:hAnsi="Arial"/>
          <w:sz w:val="18"/>
          <w:szCs w:val="18"/>
          <w:color w:val="auto"/>
        </w:rPr>
        <w:t>increased +14.2% YoY in the life insurance business, which was mainly attributable to: i) the D&amp;S lines, due to an increase in</w:t>
      </w:r>
      <w:r>
        <w:rPr>
          <w:rFonts w:ascii="Arial" w:cs="Arial" w:eastAsia="Arial" w:hAnsi="Arial"/>
          <w:sz w:val="18"/>
          <w:szCs w:val="18"/>
          <w:b w:val="1"/>
          <w:bCs w:val="1"/>
          <w:color w:val="auto"/>
        </w:rPr>
        <w:t xml:space="preserve"> </w:t>
      </w:r>
      <w:r>
        <w:rPr>
          <w:rFonts w:ascii="Arial" w:cs="Arial" w:eastAsia="Arial" w:hAnsi="Arial"/>
          <w:sz w:val="18"/>
          <w:szCs w:val="18"/>
          <w:color w:val="auto"/>
        </w:rPr>
        <w:t>premiums associated with SISCO IV and ii) Credit Life, due to an increase in sales in the bancassurance channel. In the P&amp;C business, an increase in production was attributable to the Medical Assistance and Personal Lines.</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YTD analysis, in 2019, net premiums increased +15.0% compared to 2018. This was primarily attributable to the life insurance business, where growth was driven by the D&amp;S Lines (through the tranches won in the SISCO tender) and by Individual Life. In the P&amp;C business, growth was attributable to Personal Lines, Medical Assistance and the Cars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80975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14" w:lineRule="exact"/>
        <w:rPr>
          <w:sz w:val="20"/>
          <w:szCs w:val="20"/>
          <w:color w:val="auto"/>
        </w:rPr>
      </w:pPr>
    </w:p>
    <w:p>
      <w:pPr>
        <w:ind w:left="180" w:hanging="127"/>
        <w:spacing w:after="0"/>
        <w:tabs>
          <w:tab w:leader="none" w:pos="180" w:val="left"/>
        </w:tabs>
        <w:numPr>
          <w:ilvl w:val="0"/>
          <w:numId w:val="63"/>
        </w:numPr>
        <w:rPr>
          <w:rFonts w:ascii="Arial" w:cs="Arial" w:eastAsia="Arial" w:hAnsi="Arial"/>
          <w:sz w:val="30"/>
          <w:szCs w:val="30"/>
          <w:color w:val="auto"/>
          <w:vertAlign w:val="superscript"/>
        </w:rPr>
      </w:pPr>
      <w:r>
        <w:rPr>
          <w:rFonts w:ascii="Arial" w:cs="Arial" w:eastAsia="Arial" w:hAnsi="Arial"/>
          <w:sz w:val="18"/>
          <w:szCs w:val="18"/>
          <w:color w:val="auto"/>
        </w:rPr>
        <w:t>Insurance companies that obtain tranches through a public tender process to manage the disability and survival risk of AFP affiliates.</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6.2. Net claims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claims by business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142875</wp:posOffset>
            </wp:positionV>
            <wp:extent cx="4193540" cy="2040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193540" cy="2040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claims increased +3.4% QoQ in the Life and P&amp;C business. In life insurance, the increase was attributable to (i) Credit Life, due to an increase in reported cases through the alliance channel, (ii) Annuities, due to higher pension payments through individual annuity and (iii) Individual life, after more incurred but not reported reserves were set aside. In P&amp;C, the increase was attributable to Medical Assistance after reserves were increased for comprehensive products and Personal Lines.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YoY analysis, net claims increased +23.2%. This was driven by both the Life and P&amp;C businesses. The increase reported in life insurance was attributable to (i) D&amp;S, after Pacifico won two tranches of the SISCO IV versus one tranche under SISCO III; (ii) Annuities, due to pension payments through the “Rental Flex “product and (iii) Credit Life, through the bancassurance and alliance channel. In P&amp;C business growth was attributable to: i) the Medical Assistance line, given that reserves were released in 3Q18, ii) the Cars Line, which registered an increase in claims frequency for the SOAT product and iii) the Commercial Lines, due to claims readjustments in favor in 3Q18.</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YTD analysis, net claims increased +26.7% due to growth in claims in the life insurance business through the D&amp;S line, via SISCO IV; Annuities (“Renta Flex” and individual annuities products); and Credit Life, via the bancassurance channel. In the P&amp;C business, the increase in the net claims was attributable to the Medical Assistance, Cars and Personal Lines.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6.3. Acquisition cost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Acquisition cost by Business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142875</wp:posOffset>
            </wp:positionV>
            <wp:extent cx="4347845" cy="20751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347845" cy="2075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0"/>
        </w:trPr>
        <w:tc>
          <w:tcPr>
            <w:tcW w:w="3000" w:type="dxa"/>
            <w:vAlign w:val="bottom"/>
            <w:gridSpan w:val="2"/>
          </w:tcPr>
          <w:p>
            <w:pPr>
              <w:spacing w:after="0"/>
              <w:rPr>
                <w:sz w:val="20"/>
                <w:szCs w:val="20"/>
                <w:color w:val="auto"/>
              </w:rPr>
            </w:pPr>
            <w:r>
              <w:rPr>
                <w:rFonts w:ascii="Arial" w:cs="Arial" w:eastAsia="Arial" w:hAnsi="Arial"/>
                <w:sz w:val="18"/>
                <w:szCs w:val="18"/>
                <w:b w:val="1"/>
                <w:bCs w:val="1"/>
                <w:color w:val="auto"/>
              </w:rPr>
              <w:t>Acquisition cost</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Quarter</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4"/>
          </w:tcPr>
          <w:p>
            <w:pPr>
              <w:ind w:left="540"/>
              <w:spacing w:after="0"/>
              <w:rPr>
                <w:sz w:val="20"/>
                <w:szCs w:val="20"/>
                <w:color w:val="auto"/>
              </w:rPr>
            </w:pPr>
            <w:r>
              <w:rPr>
                <w:rFonts w:ascii="Arial" w:cs="Arial" w:eastAsia="Arial" w:hAnsi="Arial"/>
                <w:sz w:val="18"/>
                <w:szCs w:val="18"/>
                <w:b w:val="1"/>
                <w:bCs w:val="1"/>
                <w:color w:val="auto"/>
                <w:w w:val="88"/>
              </w:rPr>
              <w:t>%change</w:t>
            </w: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3"/>
          </w:tcPr>
          <w:p>
            <w:pPr>
              <w:ind w:left="700"/>
              <w:spacing w:after="0"/>
              <w:rPr>
                <w:sz w:val="20"/>
                <w:szCs w:val="20"/>
                <w:color w:val="auto"/>
              </w:rPr>
            </w:pPr>
            <w:r>
              <w:rPr>
                <w:rFonts w:ascii="Arial" w:cs="Arial" w:eastAsia="Arial" w:hAnsi="Arial"/>
                <w:sz w:val="18"/>
                <w:szCs w:val="18"/>
                <w:b w:val="1"/>
                <w:bCs w:val="1"/>
                <w:color w:val="auto"/>
              </w:rPr>
              <w:t>YTD</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%change</w:t>
            </w:r>
          </w:p>
        </w:tc>
        <w:tc>
          <w:tcPr>
            <w:tcW w:w="0" w:type="dxa"/>
            <w:vAlign w:val="bottom"/>
          </w:tcPr>
          <w:p>
            <w:pPr>
              <w:spacing w:after="0"/>
              <w:rPr>
                <w:sz w:val="1"/>
                <w:szCs w:val="1"/>
                <w:color w:val="auto"/>
              </w:rPr>
            </w:pPr>
          </w:p>
        </w:tc>
      </w:tr>
      <w:tr>
        <w:trPr>
          <w:trHeight w:val="234"/>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3Q18</w:t>
            </w:r>
          </w:p>
        </w:tc>
        <w:tc>
          <w:tcPr>
            <w:tcW w:w="2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2Q19</w:t>
            </w:r>
          </w:p>
        </w:tc>
        <w:tc>
          <w:tcPr>
            <w:tcW w:w="2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3Q19</w:t>
            </w:r>
          </w:p>
        </w:tc>
        <w:tc>
          <w:tcPr>
            <w:tcW w:w="2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gridSpan w:val="2"/>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YoY</w:t>
            </w:r>
          </w:p>
        </w:tc>
        <w:tc>
          <w:tcPr>
            <w:tcW w:w="3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Sep 18</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6"/>
              </w:rPr>
              <w:t>Sep 19</w:t>
            </w:r>
          </w:p>
        </w:tc>
        <w:tc>
          <w:tcPr>
            <w:tcW w:w="22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Sep 19 / Sep 18</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Net fees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(69,813)</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(58,717)</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(65,715)</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(205,518)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(184,445)</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Underwriting expenses</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(27,777)</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(49,237)</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(30,039)</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8.1%</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(91,322)</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(113,851)</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Underwriting income</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1,208</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16,288</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1,514</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4,354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21,111</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384.8%</w:t>
            </w:r>
          </w:p>
        </w:tc>
        <w:tc>
          <w:tcPr>
            <w:tcW w:w="0" w:type="dxa"/>
            <w:vAlign w:val="bottom"/>
          </w:tcPr>
          <w:p>
            <w:pPr>
              <w:spacing w:after="0"/>
              <w:rPr>
                <w:sz w:val="1"/>
                <w:szCs w:val="1"/>
                <w:color w:val="auto"/>
              </w:rPr>
            </w:pPr>
          </w:p>
        </w:tc>
      </w:tr>
      <w:tr>
        <w:trPr>
          <w:trHeight w:val="20"/>
        </w:trPr>
        <w:tc>
          <w:tcPr>
            <w:tcW w:w="3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Acquisition cost</w:t>
            </w: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gridSpan w:val="2"/>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(96,382)</w:t>
            </w:r>
          </w:p>
        </w:tc>
        <w:tc>
          <w:tcPr>
            <w:tcW w:w="220" w:type="dxa"/>
            <w:vAlign w:val="bottom"/>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(91,666)</w:t>
            </w:r>
          </w:p>
        </w:tc>
        <w:tc>
          <w:tcPr>
            <w:tcW w:w="220" w:type="dxa"/>
            <w:vAlign w:val="bottom"/>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(94,239)</w:t>
            </w:r>
          </w:p>
        </w:tc>
        <w:tc>
          <w:tcPr>
            <w:tcW w:w="220" w:type="dxa"/>
            <w:vAlign w:val="bottom"/>
            <w:vMerge w:val="continue"/>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-2.2%</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8"/>
              </w:rPr>
              <w:t>(292,486)</w:t>
            </w:r>
          </w:p>
        </w:tc>
        <w:tc>
          <w:tcPr>
            <w:tcW w:w="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83"/>
              </w:rPr>
              <w:t>(277,186)</w:t>
            </w:r>
          </w:p>
        </w:tc>
        <w:tc>
          <w:tcPr>
            <w:tcW w:w="220" w:type="dxa"/>
            <w:vAlign w:val="bottom"/>
            <w:vMerge w:val="continue"/>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-5.2%</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acquisition cost rose +2.8% QoQ. This was primarily due an increase in the acquisition cost for the Life insurance business and, to a lesser extent, to an increase in this line in the P&amp;C business. Growth in the acquisition cost reported by the life insurance business was attributable to an increase in commissions reported for Credit Life, in line with an increase in production, and to Group life (specifically Collective Life and SCTR products) as well as Individual Life. This was attenuated by a release of provisions for uncollectible premiums in Group Life. In the P&amp;C business, the increase in the acquisition cost was attributable to a decrease in the commissions received from reinsurers in the Commercial Lines.</w:t>
      </w:r>
    </w:p>
    <w:p>
      <w:pPr>
        <w:spacing w:after="0" w:line="17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the YoY analysis, the acquisition cost decreased -2.2%. This was mainly attributable to the life insurance business and attenuated by P&amp;C business. In the life business, the decrease in commissions was driven by a drop in production in Credit life through the alliances channel. In the P&amp;C business, growth in the acquisition cost was due to the increase in commissions in Personal Lines, in line with higher production, and in the Cars and Commercial Lines, due to a decrease in commissions ceded.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YTD analysis, the acquisition cost decreased -5.2%. This was driven by a decrease in commissions in the Life insurance business, which was associated with the Credit Life line. The aforementioned was attenuated by an increase in the net underwriting expense in the P&amp;C business, through Personal Lines, Cars and Commercial Lines, and in the life business, through the Individual Life line.</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7. Operating Expenses and Efficiency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In the YoY and YTD analysis, the 40 bps improvement in the efficiency ratio was attributable to the fact that operating income grew at a faster pace than operating expenses. The increase in operating income was due primarily to growth in net interest income, which offset the increase in salaries and employee benefits.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Operating expenses</w:t>
            </w: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Quarter</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3"/>
          </w:tcPr>
          <w:p>
            <w:pPr>
              <w:ind w:left="560"/>
              <w:spacing w:after="0"/>
              <w:rPr>
                <w:sz w:val="20"/>
                <w:szCs w:val="20"/>
                <w:color w:val="auto"/>
              </w:rPr>
            </w:pPr>
            <w:r>
              <w:rPr>
                <w:rFonts w:ascii="Arial" w:cs="Arial" w:eastAsia="Arial" w:hAnsi="Arial"/>
                <w:sz w:val="14"/>
                <w:szCs w:val="14"/>
                <w:b w:val="1"/>
                <w:bCs w:val="1"/>
                <w:color w:val="auto"/>
                <w:w w:val="94"/>
              </w:rPr>
              <w:t>% change</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3"/>
          </w:tcPr>
          <w:p>
            <w:pPr>
              <w:ind w:left="760"/>
              <w:spacing w:after="0"/>
              <w:rPr>
                <w:sz w:val="20"/>
                <w:szCs w:val="20"/>
                <w:color w:val="auto"/>
              </w:rPr>
            </w:pPr>
            <w:r>
              <w:rPr>
                <w:rFonts w:ascii="Arial" w:cs="Arial" w:eastAsia="Arial" w:hAnsi="Arial"/>
                <w:sz w:val="14"/>
                <w:szCs w:val="14"/>
                <w:b w:val="1"/>
                <w:bCs w:val="1"/>
                <w:color w:val="auto"/>
              </w:rPr>
              <w:t>YTD</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20"/>
                <w:szCs w:val="20"/>
                <w:color w:val="auto"/>
              </w:rPr>
            </w:pPr>
            <w:r>
              <w:rPr>
                <w:rFonts w:ascii="Arial" w:cs="Arial" w:eastAsia="Arial" w:hAnsi="Arial"/>
                <w:sz w:val="14"/>
                <w:szCs w:val="14"/>
                <w:b w:val="1"/>
                <w:bCs w:val="1"/>
                <w:color w:val="auto"/>
              </w:rPr>
              <w:t>S/ 000</w:t>
            </w:r>
          </w:p>
        </w:tc>
        <w:tc>
          <w:tcPr>
            <w:tcW w:w="100" w:type="dxa"/>
            <w:vAlign w:val="bottom"/>
          </w:tcPr>
          <w:p>
            <w:pPr>
              <w:spacing w:after="0"/>
              <w:rPr>
                <w:sz w:val="14"/>
                <w:szCs w:val="14"/>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b w:val="1"/>
                <w:bCs w:val="1"/>
                <w:color w:val="auto"/>
              </w:rPr>
              <w:t>3Q18</w:t>
            </w:r>
          </w:p>
        </w:tc>
        <w:tc>
          <w:tcPr>
            <w:tcW w:w="24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b w:val="1"/>
                <w:bCs w:val="1"/>
                <w:color w:val="auto"/>
              </w:rPr>
              <w:t>2Q19</w:t>
            </w:r>
          </w:p>
        </w:tc>
        <w:tc>
          <w:tcPr>
            <w:tcW w:w="26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b w:val="1"/>
                <w:bCs w:val="1"/>
                <w:color w:val="auto"/>
              </w:rPr>
              <w:t>3Q19</w:t>
            </w:r>
          </w:p>
        </w:tc>
        <w:tc>
          <w:tcPr>
            <w:tcW w:w="26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b w:val="1"/>
                <w:bCs w:val="1"/>
                <w:color w:val="auto"/>
              </w:rPr>
              <w:t>QoQ</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jc w:val="right"/>
              <w:ind w:right="168"/>
              <w:spacing w:after="0"/>
              <w:rPr>
                <w:sz w:val="20"/>
                <w:szCs w:val="20"/>
                <w:color w:val="auto"/>
              </w:rPr>
            </w:pPr>
            <w:r>
              <w:rPr>
                <w:rFonts w:ascii="Arial" w:cs="Arial" w:eastAsia="Arial" w:hAnsi="Arial"/>
                <w:sz w:val="14"/>
                <w:szCs w:val="14"/>
                <w:b w:val="1"/>
                <w:bCs w:val="1"/>
                <w:color w:val="auto"/>
              </w:rPr>
              <w:t>YoY</w:t>
            </w:r>
          </w:p>
        </w:tc>
        <w:tc>
          <w:tcPr>
            <w:tcW w:w="260" w:type="dxa"/>
            <w:vAlign w:val="bottom"/>
          </w:tcPr>
          <w:p>
            <w:pPr>
              <w:spacing w:after="0"/>
              <w:rPr>
                <w:sz w:val="14"/>
                <w:szCs w:val="14"/>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b w:val="1"/>
                <w:bCs w:val="1"/>
                <w:color w:val="auto"/>
              </w:rPr>
              <w:t>Sep 18</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b w:val="1"/>
                <w:bCs w:val="1"/>
                <w:color w:val="auto"/>
              </w:rPr>
              <w:t>Sep 19</w:t>
            </w:r>
          </w:p>
        </w:tc>
        <w:tc>
          <w:tcPr>
            <w:tcW w:w="26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8"/>
              </w:rPr>
              <w:t>Sep 19 / Sep 18</w:t>
            </w:r>
          </w:p>
        </w:tc>
        <w:tc>
          <w:tcPr>
            <w:tcW w:w="0" w:type="dxa"/>
            <w:vAlign w:val="bottom"/>
          </w:tcPr>
          <w:p>
            <w:pPr>
              <w:spacing w:after="0"/>
              <w:rPr>
                <w:sz w:val="1"/>
                <w:szCs w:val="1"/>
                <w:color w:val="auto"/>
              </w:rPr>
            </w:pPr>
          </w:p>
        </w:tc>
      </w:tr>
      <w:tr>
        <w:trPr>
          <w:trHeight w:val="20"/>
        </w:trPr>
        <w:tc>
          <w:tcPr>
            <w:tcW w:w="31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Salaries and employees benefits</w:t>
            </w:r>
          </w:p>
        </w:tc>
        <w:tc>
          <w:tcPr>
            <w:tcW w:w="100" w:type="dxa"/>
            <w:vAlign w:val="bottom"/>
            <w:vMerge w:val="continue"/>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794,634</w:t>
            </w:r>
          </w:p>
        </w:tc>
        <w:tc>
          <w:tcPr>
            <w:tcW w:w="240" w:type="dxa"/>
            <w:vAlign w:val="bottom"/>
            <w:vMerge w:val="continue"/>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845,835</w:t>
            </w:r>
          </w:p>
        </w:tc>
        <w:tc>
          <w:tcPr>
            <w:tcW w:w="260" w:type="dxa"/>
            <w:vAlign w:val="bottom"/>
            <w:vMerge w:val="continue"/>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845,345</w:t>
            </w:r>
          </w:p>
        </w:tc>
        <w:tc>
          <w:tcPr>
            <w:tcW w:w="260" w:type="dxa"/>
            <w:vAlign w:val="bottom"/>
            <w:vMerge w:val="continue"/>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-0.1%</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6.4%</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2,352,806</w:t>
            </w:r>
          </w:p>
        </w:tc>
        <w:tc>
          <w:tcPr>
            <w:tcW w:w="2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2,525,497</w:t>
            </w:r>
          </w:p>
        </w:tc>
        <w:tc>
          <w:tcPr>
            <w:tcW w:w="260" w:type="dxa"/>
            <w:vAlign w:val="bottom"/>
            <w:tcBorders>
              <w:right w:val="single" w:sz="8" w:color="CCEEFF"/>
            </w:tcBorders>
            <w:shd w:val="clear" w:color="auto" w:fill="CCEEFF"/>
          </w:tcPr>
          <w:p>
            <w:pPr>
              <w:spacing w:after="0"/>
              <w:rPr>
                <w:sz w:val="12"/>
                <w:szCs w:val="12"/>
                <w:color w:val="auto"/>
              </w:rPr>
            </w:pPr>
          </w:p>
        </w:tc>
        <w:tc>
          <w:tcPr>
            <w:tcW w:w="106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Administrative, general and tax expenses</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590,491</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531,336</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560,780</w:t>
            </w: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5.5%</w:t>
            </w:r>
          </w:p>
        </w:tc>
        <w:tc>
          <w:tcPr>
            <w:tcW w:w="20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-5.0%</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1,647,927</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1,605,257</w:t>
            </w:r>
          </w:p>
        </w:tc>
        <w:tc>
          <w:tcPr>
            <w:tcW w:w="260" w:type="dxa"/>
            <w:vAlign w:val="bottom"/>
          </w:tcPr>
          <w:p>
            <w:pPr>
              <w:spacing w:after="0"/>
              <w:rPr>
                <w:sz w:val="12"/>
                <w:szCs w:val="12"/>
                <w:color w:val="auto"/>
              </w:rPr>
            </w:pP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89"/>
        </w:trPr>
        <w:tc>
          <w:tcPr>
            <w:tcW w:w="320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 xml:space="preserve">Depreciation and amortization </w:t>
            </w:r>
            <w:r>
              <w:rPr>
                <w:rFonts w:ascii="Arial" w:cs="Arial" w:eastAsia="Arial" w:hAnsi="Arial"/>
                <w:sz w:val="21"/>
                <w:szCs w:val="21"/>
                <w:color w:val="auto"/>
                <w:vertAlign w:val="superscript"/>
              </w:rPr>
              <w:t>(1)</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105,517</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180,381</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185,574</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2.9%</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75.9%</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318,710</w:t>
            </w:r>
          </w:p>
        </w:tc>
        <w:tc>
          <w:tcPr>
            <w:tcW w:w="80" w:type="dxa"/>
            <w:vAlign w:val="bottom"/>
            <w:shd w:val="clear" w:color="auto" w:fill="CCEEFF"/>
          </w:tcPr>
          <w:p>
            <w:pPr>
              <w:spacing w:after="0"/>
              <w:rPr>
                <w:sz w:val="16"/>
                <w:szCs w:val="16"/>
                <w:color w:val="auto"/>
              </w:rPr>
            </w:pPr>
          </w:p>
        </w:tc>
        <w:tc>
          <w:tcPr>
            <w:tcW w:w="9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506,652</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59.0%</w:t>
            </w: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Association in participation</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5,711</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4,746</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5,348</w:t>
            </w: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12.7%</w:t>
            </w:r>
          </w:p>
        </w:tc>
        <w:tc>
          <w:tcPr>
            <w:tcW w:w="20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-6.4%</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14,355</w:t>
            </w:r>
          </w:p>
        </w:tc>
        <w:tc>
          <w:tcPr>
            <w:tcW w:w="8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12,830</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203"/>
        </w:trPr>
        <w:tc>
          <w:tcPr>
            <w:tcW w:w="320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 xml:space="preserve">Acquisition cost </w:t>
            </w:r>
            <w:r>
              <w:rPr>
                <w:rFonts w:ascii="Arial" w:cs="Arial" w:eastAsia="Arial" w:hAnsi="Arial"/>
                <w:sz w:val="23"/>
                <w:szCs w:val="23"/>
                <w:color w:val="auto"/>
                <w:vertAlign w:val="superscript"/>
              </w:rPr>
              <w:t>(2)</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96,382</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91,666</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94,239</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2.8%</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292,486</w:t>
            </w:r>
          </w:p>
        </w:tc>
        <w:tc>
          <w:tcPr>
            <w:tcW w:w="8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277,186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line="202" w:lineRule="exact"/>
              <w:rPr>
                <w:sz w:val="20"/>
                <w:szCs w:val="20"/>
                <w:color w:val="auto"/>
              </w:rPr>
            </w:pPr>
            <w:r>
              <w:rPr>
                <w:rFonts w:ascii="Arial" w:cs="Arial" w:eastAsia="Arial" w:hAnsi="Arial"/>
                <w:sz w:val="14"/>
                <w:szCs w:val="14"/>
                <w:b w:val="1"/>
                <w:bCs w:val="1"/>
                <w:color w:val="auto"/>
              </w:rPr>
              <w:t xml:space="preserve">Operating expenses </w:t>
            </w:r>
            <w:r>
              <w:rPr>
                <w:rFonts w:ascii="Arial" w:cs="Arial" w:eastAsia="Arial" w:hAnsi="Arial"/>
                <w:sz w:val="23"/>
                <w:szCs w:val="23"/>
                <w:b w:val="1"/>
                <w:bCs w:val="1"/>
                <w:color w:val="auto"/>
                <w:vertAlign w:val="superscript"/>
              </w:rPr>
              <w:t>(3)</w:t>
            </w: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00" w:type="dxa"/>
            <w:vAlign w:val="bottom"/>
            <w:gridSpan w:val="2"/>
            <w:vMerge w:val="continue"/>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1,592,735</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1,653,964</w:t>
            </w: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1,691,286</w:t>
            </w:r>
          </w:p>
        </w:tc>
        <w:tc>
          <w:tcPr>
            <w:tcW w:w="26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2.3%</w:t>
            </w:r>
          </w:p>
        </w:tc>
        <w:tc>
          <w:tcPr>
            <w:tcW w:w="20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6.2%</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4,626,284</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4,927,422</w:t>
            </w:r>
          </w:p>
        </w:tc>
        <w:tc>
          <w:tcPr>
            <w:tcW w:w="26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6.5%</w:t>
            </w:r>
          </w:p>
        </w:tc>
        <w:tc>
          <w:tcPr>
            <w:tcW w:w="0" w:type="dxa"/>
            <w:vAlign w:val="bottom"/>
          </w:tcPr>
          <w:p>
            <w:pPr>
              <w:spacing w:after="0"/>
              <w:rPr>
                <w:sz w:val="1"/>
                <w:szCs w:val="1"/>
                <w:color w:val="auto"/>
              </w:rPr>
            </w:pPr>
          </w:p>
        </w:tc>
      </w:tr>
      <w:tr>
        <w:trPr>
          <w:trHeight w:val="20"/>
        </w:trPr>
        <w:tc>
          <w:tcPr>
            <w:tcW w:w="3200" w:type="dxa"/>
            <w:vAlign w:val="bottom"/>
            <w:gridSpan w:val="2"/>
            <w:vMerge w:val="restart"/>
            <w:shd w:val="clear" w:color="auto" w:fill="CCEEFF"/>
          </w:tcPr>
          <w:p>
            <w:pPr>
              <w:spacing w:after="0" w:line="202" w:lineRule="exact"/>
              <w:rPr>
                <w:sz w:val="20"/>
                <w:szCs w:val="20"/>
                <w:color w:val="auto"/>
              </w:rPr>
            </w:pPr>
            <w:r>
              <w:rPr>
                <w:rFonts w:ascii="Arial" w:cs="Arial" w:eastAsia="Arial" w:hAnsi="Arial"/>
                <w:sz w:val="14"/>
                <w:szCs w:val="14"/>
                <w:b w:val="1"/>
                <w:bCs w:val="1"/>
                <w:color w:val="auto"/>
              </w:rPr>
              <w:t xml:space="preserve">Operating income </w:t>
            </w:r>
            <w:r>
              <w:rPr>
                <w:rFonts w:ascii="Arial" w:cs="Arial" w:eastAsia="Arial" w:hAnsi="Arial"/>
                <w:sz w:val="23"/>
                <w:szCs w:val="23"/>
                <w:b w:val="1"/>
                <w:bCs w:val="1"/>
                <w:color w:val="auto"/>
                <w:vertAlign w:val="superscript"/>
              </w:rPr>
              <w:t>(4)</w:t>
            </w: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00" w:type="dxa"/>
            <w:vAlign w:val="bottom"/>
            <w:gridSpan w:val="2"/>
            <w:vMerge w:val="continue"/>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3,656,922</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3,838,582</w:t>
            </w: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3,915,430</w:t>
            </w: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2.0%</w:t>
            </w: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7.1%</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10,701,915</w:t>
            </w:r>
          </w:p>
        </w:tc>
        <w:tc>
          <w:tcPr>
            <w:tcW w:w="80" w:type="dxa"/>
            <w:vAlign w:val="bottom"/>
            <w:shd w:val="clear" w:color="auto" w:fill="CCEEFF"/>
          </w:tcPr>
          <w:p>
            <w:pPr>
              <w:spacing w:after="0"/>
              <w:rPr>
                <w:sz w:val="15"/>
                <w:szCs w:val="15"/>
                <w:color w:val="auto"/>
              </w:rPr>
            </w:pPr>
          </w:p>
        </w:tc>
        <w:tc>
          <w:tcPr>
            <w:tcW w:w="9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w w:val="96"/>
              </w:rPr>
              <w:t>11,511,443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7.6%</w:t>
            </w: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line="202" w:lineRule="exact"/>
              <w:rPr>
                <w:sz w:val="20"/>
                <w:szCs w:val="20"/>
                <w:color w:val="auto"/>
              </w:rPr>
            </w:pPr>
            <w:r>
              <w:rPr>
                <w:rFonts w:ascii="Arial" w:cs="Arial" w:eastAsia="Arial" w:hAnsi="Arial"/>
                <w:sz w:val="14"/>
                <w:szCs w:val="14"/>
                <w:b w:val="1"/>
                <w:bCs w:val="1"/>
                <w:color w:val="auto"/>
              </w:rPr>
              <w:t xml:space="preserve">Efficiency ratio </w:t>
            </w:r>
            <w:r>
              <w:rPr>
                <w:rFonts w:ascii="Arial" w:cs="Arial" w:eastAsia="Arial" w:hAnsi="Arial"/>
                <w:sz w:val="23"/>
                <w:szCs w:val="23"/>
                <w:b w:val="1"/>
                <w:bCs w:val="1"/>
                <w:color w:val="auto"/>
                <w:vertAlign w:val="superscript"/>
              </w:rPr>
              <w:t>(5)</w:t>
            </w: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00" w:type="dxa"/>
            <w:vAlign w:val="bottom"/>
            <w:gridSpan w:val="2"/>
            <w:vMerge w:val="continue"/>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43.6%</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43.1%</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43.2%</w:t>
            </w:r>
          </w:p>
        </w:tc>
        <w:tc>
          <w:tcPr>
            <w:tcW w:w="12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10 bps</w:t>
            </w: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-40 bps</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43.2%</w:t>
            </w:r>
          </w:p>
        </w:tc>
        <w:tc>
          <w:tcPr>
            <w:tcW w:w="8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42.8%</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-40 bps</w:t>
            </w:r>
          </w:p>
        </w:tc>
        <w:tc>
          <w:tcPr>
            <w:tcW w:w="0" w:type="dxa"/>
            <w:vAlign w:val="bottom"/>
          </w:tcPr>
          <w:p>
            <w:pPr>
              <w:spacing w:after="0"/>
              <w:rPr>
                <w:sz w:val="1"/>
                <w:szCs w:val="1"/>
                <w:color w:val="auto"/>
              </w:rPr>
            </w:pPr>
          </w:p>
        </w:tc>
      </w:tr>
      <w:tr>
        <w:trPr>
          <w:trHeight w:val="20"/>
        </w:trPr>
        <w:tc>
          <w:tcPr>
            <w:tcW w:w="3200" w:type="dxa"/>
            <w:vAlign w:val="bottom"/>
            <w:gridSpan w:val="2"/>
            <w:vMerge w:val="restart"/>
            <w:shd w:val="clear" w:color="auto" w:fill="CCEEFF"/>
          </w:tcPr>
          <w:p>
            <w:pPr>
              <w:spacing w:after="0" w:line="202" w:lineRule="exact"/>
              <w:rPr>
                <w:sz w:val="20"/>
                <w:szCs w:val="20"/>
                <w:color w:val="auto"/>
              </w:rPr>
            </w:pPr>
            <w:r>
              <w:rPr>
                <w:rFonts w:ascii="Arial" w:cs="Arial" w:eastAsia="Arial" w:hAnsi="Arial"/>
                <w:sz w:val="14"/>
                <w:szCs w:val="14"/>
                <w:b w:val="1"/>
                <w:bCs w:val="1"/>
                <w:color w:val="auto"/>
              </w:rPr>
              <w:t xml:space="preserve">Operating expenses / Total average assets </w:t>
            </w:r>
            <w:r>
              <w:rPr>
                <w:rFonts w:ascii="Arial" w:cs="Arial" w:eastAsia="Arial" w:hAnsi="Arial"/>
                <w:sz w:val="23"/>
                <w:szCs w:val="23"/>
                <w:b w:val="1"/>
                <w:bCs w:val="1"/>
                <w:color w:val="auto"/>
                <w:vertAlign w:val="superscript"/>
              </w:rPr>
              <w:t>(6)</w:t>
            </w: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00" w:type="dxa"/>
            <w:vAlign w:val="bottom"/>
            <w:gridSpan w:val="2"/>
            <w:vMerge w:val="continue"/>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3.80%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3.68%</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3.68%</w:t>
            </w:r>
          </w:p>
        </w:tc>
        <w:tc>
          <w:tcPr>
            <w:tcW w:w="120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b w:val="1"/>
                <w:bCs w:val="1"/>
                <w:color w:val="auto"/>
              </w:rPr>
              <w:t>0 bps</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-12 bps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3.64%</w:t>
            </w:r>
          </w:p>
        </w:tc>
        <w:tc>
          <w:tcPr>
            <w:tcW w:w="80" w:type="dxa"/>
            <w:vAlign w:val="bottom"/>
            <w:shd w:val="clear" w:color="auto" w:fill="CCEEFF"/>
          </w:tcPr>
          <w:p>
            <w:pPr>
              <w:spacing w:after="0"/>
              <w:rPr>
                <w:sz w:val="15"/>
                <w:szCs w:val="15"/>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3.61%</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-3 bps</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8"/>
        <w:spacing w:after="0" w:line="258" w:lineRule="auto"/>
        <w:tabs>
          <w:tab w:leader="none" w:pos="259" w:val="left"/>
        </w:tabs>
        <w:numPr>
          <w:ilvl w:val="0"/>
          <w:numId w:val="64"/>
        </w:numPr>
        <w:rPr>
          <w:rFonts w:ascii="Arial" w:cs="Arial" w:eastAsia="Arial" w:hAnsi="Arial"/>
          <w:sz w:val="18"/>
          <w:szCs w:val="18"/>
          <w:color w:val="auto"/>
        </w:rPr>
      </w:pPr>
      <w:r>
        <w:rPr>
          <w:rFonts w:ascii="Arial" w:cs="Arial" w:eastAsia="Arial" w:hAnsi="Arial"/>
          <w:sz w:val="18"/>
          <w:szCs w:val="18"/>
          <w:color w:val="auto"/>
        </w:rPr>
        <w:t>Since the 1Q19, the application of IFRS 16 is in effect, which corresponds to a greater depreciation for the asset for right-of-use". Likewise, the expenses related to the depreciation of improvements in building for rent is being reclassified to the item "Other expenses".</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acquisition cost of Pacifico includes net fees and underwriting expenses.</w:t>
      </w:r>
    </w:p>
    <w:p>
      <w:pPr>
        <w:spacing w:after="0" w:line="9" w:lineRule="exact"/>
        <w:rPr>
          <w:rFonts w:ascii="Arial" w:cs="Arial" w:eastAsia="Arial" w:hAnsi="Arial"/>
          <w:sz w:val="18"/>
          <w:szCs w:val="18"/>
          <w:color w:val="auto"/>
        </w:rPr>
      </w:pPr>
    </w:p>
    <w:p>
      <w:pPr>
        <w:ind w:firstLine="8"/>
        <w:spacing w:after="0" w:line="250" w:lineRule="auto"/>
        <w:tabs>
          <w:tab w:leader="none" w:pos="262" w:val="left"/>
        </w:tabs>
        <w:numPr>
          <w:ilvl w:val="0"/>
          <w:numId w:val="64"/>
        </w:numPr>
        <w:rPr>
          <w:rFonts w:ascii="Arial" w:cs="Arial" w:eastAsia="Arial" w:hAnsi="Arial"/>
          <w:sz w:val="18"/>
          <w:szCs w:val="18"/>
          <w:color w:val="auto"/>
        </w:rPr>
      </w:pPr>
      <w:r>
        <w:rPr>
          <w:rFonts w:ascii="Arial" w:cs="Arial" w:eastAsia="Arial" w:hAnsi="Arial"/>
          <w:sz w:val="18"/>
          <w:szCs w:val="18"/>
          <w:color w:val="auto"/>
        </w:rPr>
        <w:t>Operating expenses = Salaries and employee’s benefits + Administrative, general and tax expenses + Depreciation and amortization + Acquisition cost + Association in participation.</w:t>
      </w:r>
    </w:p>
    <w:p>
      <w:pPr>
        <w:ind w:firstLine="8"/>
        <w:spacing w:after="0" w:line="250" w:lineRule="auto"/>
        <w:tabs>
          <w:tab w:leader="none" w:pos="262" w:val="left"/>
        </w:tabs>
        <w:numPr>
          <w:ilvl w:val="0"/>
          <w:numId w:val="64"/>
        </w:numPr>
        <w:rPr>
          <w:rFonts w:ascii="Arial" w:cs="Arial" w:eastAsia="Arial" w:hAnsi="Arial"/>
          <w:sz w:val="18"/>
          <w:szCs w:val="18"/>
          <w:color w:val="auto"/>
        </w:rPr>
      </w:pPr>
      <w:r>
        <w:rPr>
          <w:rFonts w:ascii="Arial" w:cs="Arial" w:eastAsia="Arial" w:hAnsi="Arial"/>
          <w:sz w:val="18"/>
          <w:szCs w:val="18"/>
          <w:color w:val="auto"/>
        </w:rPr>
        <w:t>Operating income = Net interest income + Fee income + Net gain on foreign exchange transactions + Net gain from associates + Net gain on derivatives held for trading + Result on exchange differences + Net premiums earned.</w:t>
      </w:r>
    </w:p>
    <w:p>
      <w:pPr>
        <w:ind w:left="260" w:hanging="252"/>
        <w:spacing w:after="0"/>
        <w:tabs>
          <w:tab w:leader="none" w:pos="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 Operating expenses / Operating income.</w:t>
      </w:r>
    </w:p>
    <w:p>
      <w:pPr>
        <w:spacing w:after="0" w:line="9" w:lineRule="exact"/>
        <w:rPr>
          <w:rFonts w:ascii="Arial" w:cs="Arial" w:eastAsia="Arial" w:hAnsi="Arial"/>
          <w:sz w:val="18"/>
          <w:szCs w:val="18"/>
          <w:color w:val="auto"/>
        </w:rPr>
      </w:pPr>
    </w:p>
    <w:p>
      <w:pPr>
        <w:ind w:firstLine="8"/>
        <w:spacing w:after="0" w:line="261" w:lineRule="auto"/>
        <w:tabs>
          <w:tab w:leader="none" w:pos="281" w:val="left"/>
        </w:tabs>
        <w:numPr>
          <w:ilvl w:val="0"/>
          <w:numId w:val="64"/>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 Operating expenses / Average of Total Assets. Average is calculated with period-beginning and period-ending balances.</w:t>
      </w:r>
    </w:p>
    <w:p>
      <w:pPr>
        <w:spacing w:after="0" w:line="180"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QoQ analysis,</w:t>
      </w:r>
      <w:r>
        <w:rPr>
          <w:rFonts w:ascii="Arial" w:cs="Arial" w:eastAsia="Arial" w:hAnsi="Arial"/>
          <w:sz w:val="18"/>
          <w:szCs w:val="18"/>
          <w:color w:val="auto"/>
        </w:rPr>
        <w:t xml:space="preserve"> the deterioration in the efficiency ratio was due to seasonal effects on operating expenses; as such, the YoY analysis provides a clearer picture of the evolution of efficiency.</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 analysis</w:t>
      </w:r>
      <w:r>
        <w:rPr>
          <w:rFonts w:ascii="Arial" w:cs="Arial" w:eastAsia="Arial" w:hAnsi="Arial"/>
          <w:sz w:val="18"/>
          <w:szCs w:val="18"/>
          <w:color w:val="auto"/>
        </w:rPr>
        <w:t>, a 40 bps increase is evident in the efficiency ratio. This took place in a context in which growth in operating income outpaced the expansion posted by operating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figure below shows the impact generated by each item of income and operating expenses on the efficiency ratio:</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YoY evolution of the efficiency ratio by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154305</wp:posOffset>
            </wp:positionV>
            <wp:extent cx="6551930" cy="19208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551930" cy="1920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firstLine="8"/>
        <w:spacing w:after="0" w:line="258" w:lineRule="auto"/>
        <w:tabs>
          <w:tab w:leader="none" w:pos="267" w:val="left"/>
        </w:tabs>
        <w:numPr>
          <w:ilvl w:val="0"/>
          <w:numId w:val="65"/>
        </w:numPr>
        <w:rPr>
          <w:rFonts w:ascii="Arial" w:cs="Arial" w:eastAsia="Arial" w:hAnsi="Arial"/>
          <w:sz w:val="18"/>
          <w:szCs w:val="18"/>
          <w:color w:val="auto"/>
        </w:rPr>
      </w:pPr>
      <w:r>
        <w:rPr>
          <w:rFonts w:ascii="Arial" w:cs="Arial" w:eastAsia="Arial" w:hAnsi="Arial"/>
          <w:sz w:val="18"/>
          <w:szCs w:val="18"/>
          <w:color w:val="auto"/>
        </w:rPr>
        <w:t>Other operating income includes: Net gain on foreign exchange transactions, Net gain from associates, Net gain on derivatives held for trading and Net gain from exchange difference.</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Other operating expenses includes: Acquisition cost and Association in participation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analysis of the impact of operating income shows that the improvement in the efficiency ratio YoY was due to the following:</w:t>
      </w:r>
    </w:p>
    <w:p>
      <w:pPr>
        <w:spacing w:after="0" w:line="225" w:lineRule="exact"/>
        <w:rPr>
          <w:sz w:val="20"/>
          <w:szCs w:val="20"/>
          <w:color w:val="auto"/>
        </w:rPr>
      </w:pPr>
    </w:p>
    <w:p>
      <w:pPr>
        <w:ind w:left="880" w:right="20" w:hanging="494"/>
        <w:spacing w:after="0" w:line="277" w:lineRule="auto"/>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Growth in net interest income, in line with the expansion of average daily loans balances in the vast majority of segments, as indicated in section </w:t>
      </w:r>
      <w:r>
        <w:rPr>
          <w:rFonts w:ascii="Arial" w:cs="Arial" w:eastAsia="Arial" w:hAnsi="Arial"/>
          <w:sz w:val="18"/>
          <w:szCs w:val="18"/>
          <w:i w:val="1"/>
          <w:iCs w:val="1"/>
          <w:color w:val="auto"/>
        </w:rPr>
        <w:t>4.1. Interest income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880" w:right="20" w:hanging="494"/>
        <w:spacing w:after="0" w:line="277" w:lineRule="auto"/>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The increase in net earned premiums at Pacifico, which was generated by both the P&amp;C line and life insurance, as we will explain in the section </w:t>
      </w:r>
      <w:r>
        <w:rPr>
          <w:rFonts w:ascii="Arial" w:cs="Arial" w:eastAsia="Arial" w:hAnsi="Arial"/>
          <w:sz w:val="18"/>
          <w:szCs w:val="18"/>
          <w:i w:val="1"/>
          <w:iCs w:val="1"/>
          <w:color w:val="auto"/>
        </w:rPr>
        <w:t>6.1 Net earned premiums.</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018" w:gutter="0" w:footer="0" w:header="0"/>
        </w:sectPr>
      </w:pPr>
    </w:p>
    <w:bookmarkStart w:id="40" w:name="page41"/>
    <w:bookmarkEnd w:id="40"/>
    <w:p>
      <w:pPr>
        <w:ind w:left="880" w:right="20" w:hanging="494"/>
        <w:spacing w:after="0" w:line="277" w:lineRule="auto"/>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increase in fee income at BCP Stand-alone and, to a lesser extent, at BCP Bolivia and Mibanco, as indicated in in section 5.1.2 Income from commissions in the Banking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YoY increase in operating expenses reflects:</w:t>
      </w:r>
    </w:p>
    <w:p>
      <w:pPr>
        <w:spacing w:after="0" w:line="225" w:lineRule="exact"/>
        <w:rPr>
          <w:sz w:val="20"/>
          <w:szCs w:val="20"/>
          <w:color w:val="auto"/>
        </w:rPr>
      </w:pPr>
    </w:p>
    <w:p>
      <w:pPr>
        <w:jc w:val="both"/>
        <w:ind w:left="880" w:hanging="494"/>
        <w:spacing w:after="0" w:line="297" w:lineRule="auto"/>
        <w:tabs>
          <w:tab w:leader="none" w:pos="8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An increase in salaries and employee benefits, mainly at Mibanco, and to a lesser extent at BCP Stand-alone and Credicorp Capital. In the case of Mibanco, the increase was due to growth in the sales force in 1Q19, in line with the strategy to build capacities to ensure future growth at Mibanco. At BCP, the increase was driven primarily by growth in fixed remuneration after new personnel with specialized knowledge were hired in 1H19, and although, to a lesser extent, to expansion in variable remuneration after productivity incentives were increased in Retail Banking. The increase in salaries and employee benefits at Credicorp Capital was attributable to an increase in the headcount, mainly in Peru and Chile.</w:t>
      </w:r>
    </w:p>
    <w:p>
      <w:pPr>
        <w:spacing w:after="0" w:line="158" w:lineRule="exact"/>
        <w:rPr>
          <w:rFonts w:ascii="Arial" w:cs="Arial" w:eastAsia="Arial" w:hAnsi="Arial"/>
          <w:sz w:val="16"/>
          <w:szCs w:val="16"/>
          <w:color w:val="auto"/>
        </w:rPr>
      </w:pPr>
    </w:p>
    <w:p>
      <w:pPr>
        <w:jc w:val="both"/>
        <w:ind w:left="880" w:hanging="494"/>
        <w:spacing w:after="0" w:line="264"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increase in the depreciation and amortization line. It is important to note that this line should be analyzed alongside administrative and general expenses given that under IFRS 16, leasing expenses, which were previously included in administrative and general expenses, are now reported in the depreciation line.</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YTD, the efficiency ratio also improved 40 bps. This improvement was due to the same factors as those indicated in the YoY analysis. The figure below shows the impact of the variation that each account had on Credicorp’s efficiency ratio.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YTD evolution of the efficiency ratio by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154940</wp:posOffset>
            </wp:positionV>
            <wp:extent cx="6569075" cy="18522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569075" cy="185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firstLine="8"/>
        <w:spacing w:after="0" w:line="258" w:lineRule="auto"/>
        <w:tabs>
          <w:tab w:leader="none" w:pos="267" w:val="left"/>
        </w:tabs>
        <w:numPr>
          <w:ilvl w:val="0"/>
          <w:numId w:val="69"/>
        </w:numPr>
        <w:rPr>
          <w:rFonts w:ascii="Arial" w:cs="Arial" w:eastAsia="Arial" w:hAnsi="Arial"/>
          <w:sz w:val="18"/>
          <w:szCs w:val="18"/>
          <w:color w:val="auto"/>
        </w:rPr>
      </w:pPr>
      <w:r>
        <w:rPr>
          <w:rFonts w:ascii="Arial" w:cs="Arial" w:eastAsia="Arial" w:hAnsi="Arial"/>
          <w:sz w:val="18"/>
          <w:szCs w:val="18"/>
          <w:color w:val="auto"/>
        </w:rPr>
        <w:t>Other operating income includes: Net gain on foreign exchange transactions, Net gain from associates, Net gain on derivatives held for trading and Net gain from exchange difference.</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Other operating expenses includes: Acquisition cost and Association in participation</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7.1. Credicorp’s Administrative, General and Tax Expenses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Credicorp’s administrative, general and tax expenses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760" w:type="dxa"/>
            <w:vAlign w:val="bottom"/>
          </w:tcPr>
          <w:p>
            <w:pPr>
              <w:spacing w:after="0"/>
              <w:rPr>
                <w:sz w:val="20"/>
                <w:szCs w:val="20"/>
                <w:color w:val="auto"/>
              </w:rPr>
            </w:pPr>
            <w:r>
              <w:rPr>
                <w:rFonts w:ascii="Arial" w:cs="Arial" w:eastAsia="Arial" w:hAnsi="Arial"/>
                <w:sz w:val="14"/>
                <w:szCs w:val="14"/>
                <w:b w:val="1"/>
                <w:bCs w:val="1"/>
                <w:color w:val="auto"/>
                <w:w w:val="91"/>
              </w:rPr>
              <w:t xml:space="preserve">Administrative, general and tax expenses </w:t>
            </w:r>
            <w:r>
              <w:rPr>
                <w:rFonts w:ascii="Arial" w:cs="Arial" w:eastAsia="Arial" w:hAnsi="Arial"/>
                <w:sz w:val="23"/>
                <w:szCs w:val="23"/>
                <w:b w:val="1"/>
                <w:bCs w:val="1"/>
                <w:color w:val="auto"/>
                <w:w w:val="91"/>
                <w:vertAlign w:val="superscript"/>
              </w:rPr>
              <w:t>(1)</w:t>
            </w: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gridSpan w:val="3"/>
          </w:tcPr>
          <w:p>
            <w:pPr>
              <w:ind w:left="400"/>
              <w:spacing w:after="0"/>
              <w:rPr>
                <w:sz w:val="20"/>
                <w:szCs w:val="20"/>
                <w:color w:val="auto"/>
              </w:rPr>
            </w:pPr>
            <w:r>
              <w:rPr>
                <w:rFonts w:ascii="Arial" w:cs="Arial" w:eastAsia="Arial" w:hAnsi="Arial"/>
                <w:sz w:val="14"/>
                <w:szCs w:val="14"/>
                <w:b w:val="1"/>
                <w:bCs w:val="1"/>
                <w:color w:val="auto"/>
                <w:w w:val="98"/>
              </w:rPr>
              <w:t>Quarter</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40" w:type="dxa"/>
            <w:vAlign w:val="bottom"/>
            <w:gridSpan w:val="4"/>
          </w:tcPr>
          <w:p>
            <w:pPr>
              <w:jc w:val="right"/>
              <w:ind w:right="508"/>
              <w:spacing w:after="0"/>
              <w:rPr>
                <w:sz w:val="20"/>
                <w:szCs w:val="20"/>
                <w:color w:val="auto"/>
              </w:rPr>
            </w:pPr>
            <w:r>
              <w:rPr>
                <w:rFonts w:ascii="Arial" w:cs="Arial" w:eastAsia="Arial" w:hAnsi="Arial"/>
                <w:sz w:val="14"/>
                <w:szCs w:val="14"/>
                <w:b w:val="1"/>
                <w:bCs w:val="1"/>
                <w:color w:val="auto"/>
              </w:rPr>
              <w:t>% change</w:t>
            </w:r>
          </w:p>
        </w:tc>
        <w:tc>
          <w:tcPr>
            <w:tcW w:w="900" w:type="dxa"/>
            <w:vAlign w:val="bottom"/>
            <w:gridSpan w:val="3"/>
          </w:tcPr>
          <w:p>
            <w:pPr>
              <w:ind w:left="600"/>
              <w:spacing w:after="0"/>
              <w:rPr>
                <w:sz w:val="20"/>
                <w:szCs w:val="20"/>
                <w:color w:val="auto"/>
              </w:rPr>
            </w:pPr>
            <w:r>
              <w:rPr>
                <w:rFonts w:ascii="Arial" w:cs="Arial" w:eastAsia="Arial" w:hAnsi="Arial"/>
                <w:sz w:val="14"/>
                <w:szCs w:val="14"/>
                <w:b w:val="1"/>
                <w:bCs w:val="1"/>
                <w:color w:val="auto"/>
                <w:w w:val="99"/>
              </w:rPr>
              <w:t>YTD</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760" w:type="dxa"/>
            <w:vAlign w:val="bottom"/>
          </w:tcPr>
          <w:p>
            <w:pPr>
              <w:spacing w:after="0"/>
              <w:rPr>
                <w:sz w:val="20"/>
                <w:szCs w:val="20"/>
                <w:color w:val="auto"/>
              </w:rPr>
            </w:pPr>
            <w:r>
              <w:rPr>
                <w:rFonts w:ascii="Arial" w:cs="Arial" w:eastAsia="Arial" w:hAnsi="Arial"/>
                <w:sz w:val="14"/>
                <w:szCs w:val="14"/>
                <w:b w:val="1"/>
                <w:bCs w:val="1"/>
                <w:color w:val="auto"/>
              </w:rPr>
              <w:t>S/ 000</w:t>
            </w:r>
          </w:p>
        </w:tc>
        <w:tc>
          <w:tcPr>
            <w:tcW w:w="580" w:type="dxa"/>
            <w:vAlign w:val="bottom"/>
          </w:tcPr>
          <w:p>
            <w:pPr>
              <w:jc w:val="right"/>
              <w:ind w:right="48"/>
              <w:spacing w:after="0"/>
              <w:rPr>
                <w:sz w:val="20"/>
                <w:szCs w:val="20"/>
                <w:color w:val="auto"/>
              </w:rPr>
            </w:pPr>
            <w:r>
              <w:rPr>
                <w:rFonts w:ascii="Arial" w:cs="Arial" w:eastAsia="Arial" w:hAnsi="Arial"/>
                <w:sz w:val="14"/>
                <w:szCs w:val="14"/>
                <w:b w:val="1"/>
                <w:bCs w:val="1"/>
                <w:color w:val="auto"/>
              </w:rPr>
              <w:t>3Q18</w:t>
            </w:r>
          </w:p>
        </w:tc>
        <w:tc>
          <w:tcPr>
            <w:tcW w:w="160" w:type="dxa"/>
            <w:vAlign w:val="bottom"/>
          </w:tcPr>
          <w:p>
            <w:pPr>
              <w:spacing w:after="0"/>
              <w:rPr>
                <w:sz w:val="14"/>
                <w:szCs w:val="14"/>
                <w:color w:val="auto"/>
              </w:rPr>
            </w:pPr>
          </w:p>
        </w:tc>
        <w:tc>
          <w:tcPr>
            <w:tcW w:w="4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b w:val="1"/>
                <w:bCs w:val="1"/>
                <w:color w:val="auto"/>
              </w:rPr>
              <w:t>2Q19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b w:val="1"/>
                <w:bCs w:val="1"/>
                <w:color w:val="auto"/>
              </w:rPr>
              <w:t>3Q19</w:t>
            </w:r>
          </w:p>
        </w:tc>
        <w:tc>
          <w:tcPr>
            <w:tcW w:w="180" w:type="dxa"/>
            <w:vAlign w:val="bottom"/>
          </w:tcPr>
          <w:p>
            <w:pPr>
              <w:spacing w:after="0"/>
              <w:rPr>
                <w:sz w:val="14"/>
                <w:szCs w:val="14"/>
                <w:color w:val="auto"/>
              </w:rPr>
            </w:pPr>
          </w:p>
        </w:tc>
        <w:tc>
          <w:tcPr>
            <w:tcW w:w="4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b w:val="1"/>
                <w:bCs w:val="1"/>
                <w:color w:val="auto"/>
              </w:rPr>
              <w:t>QoQ</w:t>
            </w:r>
          </w:p>
        </w:tc>
        <w:tc>
          <w:tcPr>
            <w:tcW w:w="240" w:type="dxa"/>
            <w:vAlign w:val="bottom"/>
          </w:tcPr>
          <w:p>
            <w:pPr>
              <w:spacing w:after="0"/>
              <w:rPr>
                <w:sz w:val="14"/>
                <w:szCs w:val="14"/>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b w:val="1"/>
                <w:bCs w:val="1"/>
                <w:color w:val="auto"/>
              </w:rPr>
              <w:t>YoY</w:t>
            </w:r>
          </w:p>
        </w:tc>
        <w:tc>
          <w:tcPr>
            <w:tcW w:w="22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b w:val="1"/>
                <w:bCs w:val="1"/>
                <w:color w:val="auto"/>
              </w:rPr>
              <w:t>Sep 18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b w:val="1"/>
                <w:bCs w:val="1"/>
                <w:color w:val="auto"/>
                <w:w w:val="97"/>
              </w:rPr>
              <w:t>Sep 19</w:t>
            </w:r>
          </w:p>
        </w:tc>
        <w:tc>
          <w:tcPr>
            <w:tcW w:w="80" w:type="dxa"/>
            <w:vAlign w:val="bottom"/>
          </w:tcPr>
          <w:p>
            <w:pPr>
              <w:spacing w:after="0"/>
              <w:rPr>
                <w:sz w:val="14"/>
                <w:szCs w:val="14"/>
                <w:color w:val="auto"/>
              </w:rPr>
            </w:pPr>
          </w:p>
        </w:tc>
        <w:tc>
          <w:tcPr>
            <w:tcW w:w="114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w w:val="96"/>
              </w:rPr>
              <w:t>Sep 19 / Sep 18</w:t>
            </w:r>
          </w:p>
        </w:tc>
        <w:tc>
          <w:tcPr>
            <w:tcW w:w="0" w:type="dxa"/>
            <w:vAlign w:val="bottom"/>
          </w:tcPr>
          <w:p>
            <w:pPr>
              <w:spacing w:after="0"/>
              <w:rPr>
                <w:sz w:val="1"/>
                <w:szCs w:val="1"/>
                <w:color w:val="auto"/>
              </w:rPr>
            </w:pPr>
          </w:p>
        </w:tc>
      </w:tr>
      <w:tr>
        <w:trPr>
          <w:trHeight w:val="20"/>
        </w:trPr>
        <w:tc>
          <w:tcPr>
            <w:tcW w:w="2760" w:type="dxa"/>
            <w:vAlign w:val="bottom"/>
            <w:tcBorders>
              <w:right w:val="single" w:sz="8" w:color="CCEEFF"/>
            </w:tcBorders>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60" w:type="dxa"/>
            <w:vAlign w:val="bottom"/>
            <w:tcBorders>
              <w:right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Marketing</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80,618</w:t>
            </w:r>
          </w:p>
        </w:tc>
        <w:tc>
          <w:tcPr>
            <w:tcW w:w="160" w:type="dxa"/>
            <w:vAlign w:val="bottom"/>
            <w:vMerge w:val="continue"/>
            <w:shd w:val="clear" w:color="auto" w:fill="CCEEFF"/>
          </w:tcPr>
          <w:p>
            <w:pPr>
              <w:spacing w:after="0"/>
              <w:rPr>
                <w:sz w:val="12"/>
                <w:szCs w:val="12"/>
                <w:color w:val="auto"/>
              </w:rPr>
            </w:pPr>
          </w:p>
        </w:tc>
        <w:tc>
          <w:tcPr>
            <w:tcW w:w="700" w:type="dxa"/>
            <w:vAlign w:val="bottom"/>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14%</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87,714</w:t>
            </w:r>
          </w:p>
        </w:tc>
        <w:tc>
          <w:tcPr>
            <w:tcW w:w="16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17%</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86,768</w:t>
            </w:r>
          </w:p>
        </w:tc>
        <w:tc>
          <w:tcPr>
            <w:tcW w:w="180" w:type="dxa"/>
            <w:vAlign w:val="bottom"/>
            <w:vMerge w:val="continue"/>
            <w:shd w:val="clear" w:color="auto" w:fill="CCEEFF"/>
          </w:tcPr>
          <w:p>
            <w:pPr>
              <w:spacing w:after="0"/>
              <w:rPr>
                <w:sz w:val="12"/>
                <w:szCs w:val="12"/>
                <w:color w:val="auto"/>
              </w:rPr>
            </w:pPr>
          </w:p>
        </w:tc>
        <w:tc>
          <w:tcPr>
            <w:tcW w:w="700" w:type="dxa"/>
            <w:vAlign w:val="bottom"/>
            <w:gridSpan w:val="2"/>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15%</w:t>
            </w:r>
          </w:p>
        </w:tc>
        <w:tc>
          <w:tcPr>
            <w:tcW w:w="780" w:type="dxa"/>
            <w:vAlign w:val="bottom"/>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-1.1%</w:t>
            </w:r>
          </w:p>
        </w:tc>
        <w:tc>
          <w:tcPr>
            <w:tcW w:w="760" w:type="dxa"/>
            <w:vAlign w:val="bottom"/>
            <w:gridSpan w:val="2"/>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7.6%</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225,369</w:t>
            </w:r>
          </w:p>
        </w:tc>
        <w:tc>
          <w:tcPr>
            <w:tcW w:w="1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252,982</w:t>
            </w:r>
          </w:p>
        </w:tc>
        <w:tc>
          <w:tcPr>
            <w:tcW w:w="80" w:type="dxa"/>
            <w:vAlign w:val="bottom"/>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Taxes and contributions</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60,213</w:t>
            </w:r>
          </w:p>
        </w:tc>
        <w:tc>
          <w:tcPr>
            <w:tcW w:w="7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10%</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64,182</w:t>
            </w:r>
          </w:p>
        </w:tc>
        <w:tc>
          <w:tcPr>
            <w:tcW w:w="160" w:type="dxa"/>
            <w:vAlign w:val="bottom"/>
          </w:tcPr>
          <w:p>
            <w:pPr>
              <w:spacing w:after="0"/>
              <w:rPr>
                <w:sz w:val="12"/>
                <w:szCs w:val="12"/>
                <w:color w:val="auto"/>
              </w:rPr>
            </w:pPr>
          </w:p>
        </w:tc>
        <w:tc>
          <w:tcPr>
            <w:tcW w:w="56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12%</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65,981</w:t>
            </w:r>
          </w:p>
        </w:tc>
        <w:tc>
          <w:tcPr>
            <w:tcW w:w="7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12%</w:t>
            </w:r>
          </w:p>
        </w:tc>
        <w:tc>
          <w:tcPr>
            <w:tcW w:w="7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2.8%</w:t>
            </w:r>
          </w:p>
        </w:tc>
        <w:tc>
          <w:tcPr>
            <w:tcW w:w="76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9.6%</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175,755</w:t>
            </w: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196,872</w:t>
            </w:r>
          </w:p>
        </w:tc>
        <w:tc>
          <w:tcPr>
            <w:tcW w:w="11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49"/>
        </w:trPr>
        <w:tc>
          <w:tcPr>
            <w:tcW w:w="276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Insfrastructure</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72,622</w:t>
            </w:r>
          </w:p>
        </w:tc>
        <w:tc>
          <w:tcPr>
            <w:tcW w:w="7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12%</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76,788</w:t>
            </w: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14%</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76,718</w:t>
            </w:r>
          </w:p>
        </w:tc>
        <w:tc>
          <w:tcPr>
            <w:tcW w:w="7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14%</w:t>
            </w:r>
          </w:p>
        </w:tc>
        <w:tc>
          <w:tcPr>
            <w:tcW w:w="7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-0.1%</w:t>
            </w:r>
          </w:p>
        </w:tc>
        <w:tc>
          <w:tcPr>
            <w:tcW w:w="76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5.6%</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210,415</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221,450</w:t>
            </w:r>
          </w:p>
        </w:tc>
        <w:tc>
          <w:tcPr>
            <w:tcW w:w="11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Systems outsourcing</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58,283</w:t>
            </w:r>
          </w:p>
        </w:tc>
        <w:tc>
          <w:tcPr>
            <w:tcW w:w="7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10%</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44,410</w:t>
            </w:r>
          </w:p>
        </w:tc>
        <w:tc>
          <w:tcPr>
            <w:tcW w:w="160" w:type="dxa"/>
            <w:vAlign w:val="bottom"/>
          </w:tcPr>
          <w:p>
            <w:pPr>
              <w:spacing w:after="0"/>
              <w:rPr>
                <w:sz w:val="12"/>
                <w:szCs w:val="12"/>
                <w:color w:val="auto"/>
              </w:rPr>
            </w:pPr>
          </w:p>
        </w:tc>
        <w:tc>
          <w:tcPr>
            <w:tcW w:w="56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8%</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47,933</w:t>
            </w:r>
          </w:p>
        </w:tc>
        <w:tc>
          <w:tcPr>
            <w:tcW w:w="7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9%</w:t>
            </w:r>
          </w:p>
        </w:tc>
        <w:tc>
          <w:tcPr>
            <w:tcW w:w="7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7.9%</w:t>
            </w:r>
          </w:p>
        </w:tc>
        <w:tc>
          <w:tcPr>
            <w:tcW w:w="76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-17.8%</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165,889</w:t>
            </w: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124,216</w:t>
            </w:r>
          </w:p>
        </w:tc>
        <w:tc>
          <w:tcPr>
            <w:tcW w:w="11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49"/>
        </w:trPr>
        <w:tc>
          <w:tcPr>
            <w:tcW w:w="276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Programs and systems</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67,685</w:t>
            </w:r>
          </w:p>
        </w:tc>
        <w:tc>
          <w:tcPr>
            <w:tcW w:w="7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11%</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69,538</w:t>
            </w: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13%</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69,462</w:t>
            </w:r>
          </w:p>
        </w:tc>
        <w:tc>
          <w:tcPr>
            <w:tcW w:w="7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12%</w:t>
            </w:r>
          </w:p>
        </w:tc>
        <w:tc>
          <w:tcPr>
            <w:tcW w:w="7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-0.1%</w:t>
            </w:r>
          </w:p>
        </w:tc>
        <w:tc>
          <w:tcPr>
            <w:tcW w:w="76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2.6%</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188,789</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202,849</w:t>
            </w:r>
          </w:p>
        </w:tc>
        <w:tc>
          <w:tcPr>
            <w:tcW w:w="11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Communications</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20,845</w:t>
            </w:r>
          </w:p>
        </w:tc>
        <w:tc>
          <w:tcPr>
            <w:tcW w:w="7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4%</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21,223</w:t>
            </w:r>
          </w:p>
        </w:tc>
        <w:tc>
          <w:tcPr>
            <w:tcW w:w="160" w:type="dxa"/>
            <w:vAlign w:val="bottom"/>
          </w:tcPr>
          <w:p>
            <w:pPr>
              <w:spacing w:after="0"/>
              <w:rPr>
                <w:sz w:val="12"/>
                <w:szCs w:val="12"/>
                <w:color w:val="auto"/>
              </w:rPr>
            </w:pPr>
          </w:p>
        </w:tc>
        <w:tc>
          <w:tcPr>
            <w:tcW w:w="56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4%</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18,937</w:t>
            </w:r>
          </w:p>
        </w:tc>
        <w:tc>
          <w:tcPr>
            <w:tcW w:w="7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3%</w:t>
            </w:r>
          </w:p>
        </w:tc>
        <w:tc>
          <w:tcPr>
            <w:tcW w:w="7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-10.8%</w:t>
            </w:r>
          </w:p>
        </w:tc>
        <w:tc>
          <w:tcPr>
            <w:tcW w:w="76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-9.2%</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63,367</w:t>
            </w: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62,874</w:t>
            </w:r>
          </w:p>
        </w:tc>
        <w:tc>
          <w:tcPr>
            <w:tcW w:w="11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276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Rent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47,446</w:t>
            </w:r>
          </w:p>
        </w:tc>
        <w:tc>
          <w:tcPr>
            <w:tcW w:w="7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8%</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21,028</w:t>
            </w: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4%</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12,037</w:t>
            </w:r>
          </w:p>
        </w:tc>
        <w:tc>
          <w:tcPr>
            <w:tcW w:w="7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w:t>
            </w:r>
          </w:p>
        </w:tc>
        <w:tc>
          <w:tcPr>
            <w:tcW w:w="7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-42.8%</w:t>
            </w:r>
          </w:p>
        </w:tc>
        <w:tc>
          <w:tcPr>
            <w:tcW w:w="76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-74.6%</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144,118</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63,528</w:t>
            </w:r>
          </w:p>
        </w:tc>
        <w:tc>
          <w:tcPr>
            <w:tcW w:w="11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-55.9%</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Consulting</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53,478</w:t>
            </w:r>
          </w:p>
        </w:tc>
        <w:tc>
          <w:tcPr>
            <w:tcW w:w="7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9%</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30,864</w:t>
            </w:r>
          </w:p>
        </w:tc>
        <w:tc>
          <w:tcPr>
            <w:tcW w:w="160" w:type="dxa"/>
            <w:vAlign w:val="bottom"/>
          </w:tcPr>
          <w:p>
            <w:pPr>
              <w:spacing w:after="0"/>
              <w:rPr>
                <w:sz w:val="12"/>
                <w:szCs w:val="12"/>
                <w:color w:val="auto"/>
              </w:rPr>
            </w:pPr>
          </w:p>
        </w:tc>
        <w:tc>
          <w:tcPr>
            <w:tcW w:w="56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6%</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61,082</w:t>
            </w:r>
          </w:p>
        </w:tc>
        <w:tc>
          <w:tcPr>
            <w:tcW w:w="7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11%</w:t>
            </w:r>
          </w:p>
        </w:tc>
        <w:tc>
          <w:tcPr>
            <w:tcW w:w="7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97.9%</w:t>
            </w:r>
          </w:p>
        </w:tc>
        <w:tc>
          <w:tcPr>
            <w:tcW w:w="76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14.2%</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132,253</w:t>
            </w: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125,720</w:t>
            </w:r>
          </w:p>
        </w:tc>
        <w:tc>
          <w:tcPr>
            <w:tcW w:w="11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9"/>
        </w:trPr>
        <w:tc>
          <w:tcPr>
            <w:tcW w:w="276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Channels</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58,127</w:t>
            </w:r>
          </w:p>
        </w:tc>
        <w:tc>
          <w:tcPr>
            <w:tcW w:w="7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10%</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61,144</w:t>
            </w: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12%</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62,333</w:t>
            </w:r>
          </w:p>
        </w:tc>
        <w:tc>
          <w:tcPr>
            <w:tcW w:w="7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11%</w:t>
            </w:r>
          </w:p>
        </w:tc>
        <w:tc>
          <w:tcPr>
            <w:tcW w:w="7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1.9%</w:t>
            </w:r>
          </w:p>
        </w:tc>
        <w:tc>
          <w:tcPr>
            <w:tcW w:w="76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7.2%</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160,893</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176,244</w:t>
            </w:r>
          </w:p>
        </w:tc>
        <w:tc>
          <w:tcPr>
            <w:tcW w:w="11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Gastos Legales</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9,873</w:t>
            </w:r>
          </w:p>
        </w:tc>
        <w:tc>
          <w:tcPr>
            <w:tcW w:w="7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10,513</w:t>
            </w:r>
          </w:p>
        </w:tc>
        <w:tc>
          <w:tcPr>
            <w:tcW w:w="160" w:type="dxa"/>
            <w:vAlign w:val="bottom"/>
          </w:tcPr>
          <w:p>
            <w:pPr>
              <w:spacing w:after="0"/>
              <w:rPr>
                <w:sz w:val="12"/>
                <w:szCs w:val="12"/>
                <w:color w:val="auto"/>
              </w:rPr>
            </w:pPr>
          </w:p>
        </w:tc>
        <w:tc>
          <w:tcPr>
            <w:tcW w:w="56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2%</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8,793</w:t>
            </w:r>
          </w:p>
        </w:tc>
        <w:tc>
          <w:tcPr>
            <w:tcW w:w="7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2%</w:t>
            </w:r>
          </w:p>
        </w:tc>
        <w:tc>
          <w:tcPr>
            <w:tcW w:w="7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-16.4%</w:t>
            </w:r>
          </w:p>
        </w:tc>
        <w:tc>
          <w:tcPr>
            <w:tcW w:w="76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-10.9%</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28,181</w:t>
            </w: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25,979</w:t>
            </w:r>
          </w:p>
        </w:tc>
        <w:tc>
          <w:tcPr>
            <w:tcW w:w="11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49"/>
        </w:trPr>
        <w:tc>
          <w:tcPr>
            <w:tcW w:w="276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Gastos de Representación</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3,303</w:t>
            </w:r>
          </w:p>
        </w:tc>
        <w:tc>
          <w:tcPr>
            <w:tcW w:w="7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5,068</w:t>
            </w: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5,300</w:t>
            </w:r>
          </w:p>
        </w:tc>
        <w:tc>
          <w:tcPr>
            <w:tcW w:w="7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w:t>
            </w:r>
          </w:p>
        </w:tc>
        <w:tc>
          <w:tcPr>
            <w:tcW w:w="7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4.6%</w:t>
            </w:r>
          </w:p>
        </w:tc>
        <w:tc>
          <w:tcPr>
            <w:tcW w:w="76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60.5%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12,411</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15,482</w:t>
            </w:r>
          </w:p>
        </w:tc>
        <w:tc>
          <w:tcPr>
            <w:tcW w:w="11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Seguros</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13,305</w:t>
            </w:r>
          </w:p>
        </w:tc>
        <w:tc>
          <w:tcPr>
            <w:tcW w:w="7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13,767</w:t>
            </w:r>
          </w:p>
        </w:tc>
        <w:tc>
          <w:tcPr>
            <w:tcW w:w="160" w:type="dxa"/>
            <w:vAlign w:val="bottom"/>
          </w:tcPr>
          <w:p>
            <w:pPr>
              <w:spacing w:after="0"/>
              <w:rPr>
                <w:sz w:val="12"/>
                <w:szCs w:val="12"/>
                <w:color w:val="auto"/>
              </w:rPr>
            </w:pPr>
          </w:p>
        </w:tc>
        <w:tc>
          <w:tcPr>
            <w:tcW w:w="56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3%</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16,417</w:t>
            </w:r>
          </w:p>
        </w:tc>
        <w:tc>
          <w:tcPr>
            <w:tcW w:w="7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3%</w:t>
            </w:r>
          </w:p>
        </w:tc>
        <w:tc>
          <w:tcPr>
            <w:tcW w:w="7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19.2%</w:t>
            </w:r>
          </w:p>
        </w:tc>
        <w:tc>
          <w:tcPr>
            <w:tcW w:w="76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23.4%</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31,176</w:t>
            </w: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41,739</w:t>
            </w:r>
          </w:p>
        </w:tc>
        <w:tc>
          <w:tcPr>
            <w:tcW w:w="11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203"/>
        </w:trPr>
        <w:tc>
          <w:tcPr>
            <w:tcW w:w="276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4"/>
                <w:szCs w:val="14"/>
                <w:color w:val="auto"/>
              </w:rPr>
              <w:t xml:space="preserve">Others </w:t>
            </w:r>
            <w:r>
              <w:rPr>
                <w:rFonts w:ascii="Arial" w:cs="Arial" w:eastAsia="Arial" w:hAnsi="Arial"/>
                <w:sz w:val="23"/>
                <w:szCs w:val="23"/>
                <w:color w:val="auto"/>
                <w:vertAlign w:val="superscript"/>
              </w:rPr>
              <w:t>(2)</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44,691</w:t>
            </w:r>
          </w:p>
        </w:tc>
        <w:tc>
          <w:tcPr>
            <w:tcW w:w="7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25,097</w:t>
            </w:r>
          </w:p>
        </w:tc>
        <w:tc>
          <w:tcPr>
            <w:tcW w:w="1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29,018</w:t>
            </w:r>
          </w:p>
        </w:tc>
        <w:tc>
          <w:tcPr>
            <w:tcW w:w="7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7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15.6%</w:t>
            </w:r>
          </w:p>
        </w:tc>
        <w:tc>
          <w:tcPr>
            <w:tcW w:w="7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-35.1%</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109,310</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95,321</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42"/>
        </w:trPr>
        <w:tc>
          <w:tcPr>
            <w:tcW w:w="2760" w:type="dxa"/>
            <w:vAlign w:val="bottom"/>
          </w:tcPr>
          <w:p>
            <w:pPr>
              <w:spacing w:after="0" w:line="142" w:lineRule="exact"/>
              <w:rPr>
                <w:sz w:val="20"/>
                <w:szCs w:val="20"/>
                <w:color w:val="auto"/>
              </w:rPr>
            </w:pPr>
            <w:r>
              <w:rPr>
                <w:rFonts w:ascii="Arial" w:cs="Arial" w:eastAsia="Arial" w:hAnsi="Arial"/>
                <w:sz w:val="14"/>
                <w:szCs w:val="14"/>
                <w:b w:val="1"/>
                <w:bCs w:val="1"/>
                <w:color w:val="auto"/>
                <w:w w:val="96"/>
              </w:rPr>
              <w:t>Total administrative and general expenses</w:t>
            </w: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590,491</w:t>
            </w:r>
          </w:p>
        </w:tc>
        <w:tc>
          <w:tcPr>
            <w:tcW w:w="16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531,336</w:t>
            </w: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100</w:t>
            </w:r>
          </w:p>
        </w:tc>
        <w:tc>
          <w:tcPr>
            <w:tcW w:w="22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auto"/>
                <w:w w:val="96"/>
              </w:rPr>
              <w:t>%</w:t>
            </w: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560,780</w:t>
            </w:r>
          </w:p>
        </w:tc>
        <w:tc>
          <w:tcPr>
            <w:tcW w:w="18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100</w:t>
            </w:r>
          </w:p>
        </w:tc>
        <w:tc>
          <w:tcPr>
            <w:tcW w:w="22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auto"/>
                <w:w w:val="96"/>
              </w:rPr>
              <w:t>%</w:t>
            </w: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5.5</w:t>
            </w:r>
          </w:p>
        </w:tc>
        <w:tc>
          <w:tcPr>
            <w:tcW w:w="24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-5.0</w:t>
            </w:r>
          </w:p>
        </w:tc>
        <w:tc>
          <w:tcPr>
            <w:tcW w:w="22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auto"/>
                <w:w w:val="96"/>
              </w:rPr>
              <w:t>%</w:t>
            </w: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1,647,927</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1,605,257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-2.6</w:t>
            </w:r>
          </w:p>
        </w:tc>
        <w:tc>
          <w:tcPr>
            <w:tcW w:w="1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9"/>
              </w:rPr>
              <w:t>%</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Administrative, general and tax expenses differ from previously reported because BCP Bolivia has been included.</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Others include ASB, BCP Bolivia, Grupo Credito and eliminations for consolidation.</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QoQ increase</w:t>
      </w:r>
      <w:r>
        <w:rPr>
          <w:rFonts w:ascii="Arial" w:cs="Arial" w:eastAsia="Arial" w:hAnsi="Arial"/>
          <w:sz w:val="18"/>
          <w:szCs w:val="18"/>
          <w:color w:val="auto"/>
        </w:rPr>
        <w:t xml:space="preserve"> in administrative and general expenses was mainly due to a seasonal effect. This effect is reflected in the Consultants line and is mainly attributable to transformation projects and more specifically, to digital issues at BCP Stand-alone.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YoY analysis, which excludes the seasonal effect on operating expenses, shows a drop in expenses, mainly due to a decrease in expenses for systems Outsourcing and Leasing. This was attributable to the application of IRFS 16, which indicates that financial leasing expenses will not be included in administrative and general expenses and taxes. Now, a portion of systems outsourcing and leasing expenses (approximately 90%) are included in depreciation and amortization and the rest in financial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offset the increase in:</w:t>
      </w:r>
    </w:p>
    <w:p>
      <w:pPr>
        <w:spacing w:after="0" w:line="225" w:lineRule="exact"/>
        <w:rPr>
          <w:sz w:val="20"/>
          <w:szCs w:val="20"/>
          <w:color w:val="auto"/>
        </w:rPr>
      </w:pPr>
    </w:p>
    <w:p>
      <w:pPr>
        <w:ind w:left="980" w:hanging="648"/>
        <w:spacing w:after="0" w:line="277" w:lineRule="auto"/>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Expenses for Consultants for the factors discussed in the QoQ analysis and to a lesser extent, the increase in Credicorp Capital due a project that aims to optimize the way in which support teams operate between countries.</w:t>
      </w:r>
    </w:p>
    <w:p>
      <w:pPr>
        <w:spacing w:after="0" w:line="170" w:lineRule="exact"/>
        <w:rPr>
          <w:rFonts w:ascii="Arial" w:cs="Arial" w:eastAsia="Arial" w:hAnsi="Arial"/>
          <w:sz w:val="18"/>
          <w:szCs w:val="18"/>
          <w:color w:val="auto"/>
        </w:rPr>
      </w:pPr>
    </w:p>
    <w:p>
      <w:pPr>
        <w:ind w:left="980" w:right="20" w:hanging="648"/>
        <w:spacing w:after="0" w:line="277" w:lineRule="auto"/>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increase in Marketing, mainly at BCP Stand-alone due to an increase in expenses for the Latam Miles Program and for different advertising campaigns for Yape and the celebration of BCP’s 130 year anniversary and;</w:t>
      </w:r>
    </w:p>
    <w:p>
      <w:pPr>
        <w:spacing w:after="0" w:line="170"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Higher expenses in our channels due to an increase in fee income, in line with growth in the volume of transfers at the national level and abroad, as indicated in chapter 5.1.2. Fee Income in the Banking Business.</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the YTD operating efficiency ratio there is a slight reduction in expenses, which is mainly attributable to the effect of IFRS 16, as indicated in the YoY analysis. The aforementioned offset the increase in Marketing and Channels, which was attributable to the same factors indicated in the YoY analysis.</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4"/>
        </w:trPr>
        <w:tc>
          <w:tcPr>
            <w:tcW w:w="2220" w:type="dxa"/>
            <w:vAlign w:val="bottom"/>
          </w:tcPr>
          <w:p>
            <w:pPr>
              <w:spacing w:after="0"/>
              <w:rPr>
                <w:sz w:val="20"/>
                <w:szCs w:val="20"/>
                <w:color w:val="auto"/>
              </w:rPr>
            </w:pPr>
            <w:r>
              <w:rPr>
                <w:rFonts w:ascii="Arial" w:cs="Arial" w:eastAsia="Arial" w:hAnsi="Arial"/>
                <w:sz w:val="18"/>
                <w:szCs w:val="18"/>
                <w:b w:val="1"/>
                <w:bCs w:val="1"/>
                <w:color w:val="auto"/>
              </w:rPr>
              <w:t>7.2. Efficiency Ratio</w:t>
            </w: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596"/>
        </w:trPr>
        <w:tc>
          <w:tcPr>
            <w:tcW w:w="2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80" w:type="dxa"/>
            <w:vAlign w:val="bottom"/>
            <w:gridSpan w:val="6"/>
          </w:tcPr>
          <w:p>
            <w:pPr>
              <w:ind w:left="760"/>
              <w:spacing w:after="0"/>
              <w:rPr>
                <w:sz w:val="20"/>
                <w:szCs w:val="20"/>
                <w:color w:val="auto"/>
              </w:rPr>
            </w:pPr>
            <w:r>
              <w:rPr>
                <w:rFonts w:ascii="Arial" w:cs="Arial" w:eastAsia="Arial" w:hAnsi="Arial"/>
                <w:sz w:val="18"/>
                <w:szCs w:val="18"/>
                <w:b w:val="1"/>
                <w:bCs w:val="1"/>
                <w:color w:val="auto"/>
              </w:rPr>
              <w:t xml:space="preserve">Efficiency Ratio by Subsidiary </w:t>
            </w:r>
            <w:r>
              <w:rPr>
                <w:rFonts w:ascii="Arial" w:cs="Arial" w:eastAsia="Arial" w:hAnsi="Arial"/>
                <w:sz w:val="30"/>
                <w:szCs w:val="30"/>
                <w:b w:val="1"/>
                <w:bCs w:val="1"/>
                <w:color w:val="auto"/>
                <w:vertAlign w:val="superscript"/>
              </w:rPr>
              <w:t>(1)(2)</w:t>
            </w: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91"/>
        </w:trPr>
        <w:tc>
          <w:tcPr>
            <w:tcW w:w="2220" w:type="dxa"/>
            <w:vAlign w:val="bottom"/>
          </w:tcPr>
          <w:p>
            <w:pPr>
              <w:spacing w:after="0"/>
              <w:rPr>
                <w:sz w:val="24"/>
                <w:szCs w:val="24"/>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BCP</w:t>
            </w: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2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Stand-alone</w:t>
            </w:r>
          </w:p>
        </w:tc>
        <w:tc>
          <w:tcPr>
            <w:tcW w:w="26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7"/>
              </w:rPr>
              <w:t>BCP Bolivia</w:t>
            </w:r>
          </w:p>
        </w:tc>
        <w:tc>
          <w:tcPr>
            <w:tcW w:w="26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Mibanco</w:t>
            </w:r>
          </w:p>
        </w:tc>
        <w:tc>
          <w:tcPr>
            <w:tcW w:w="24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Pacifico</w:t>
            </w:r>
          </w:p>
        </w:tc>
        <w:tc>
          <w:tcPr>
            <w:tcW w:w="26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Prim a AFP</w:t>
            </w:r>
          </w:p>
        </w:tc>
        <w:tc>
          <w:tcPr>
            <w:tcW w:w="26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Credicorp</w:t>
            </w:r>
          </w:p>
        </w:tc>
        <w:tc>
          <w:tcPr>
            <w:tcW w:w="180" w:type="dxa"/>
            <w:vAlign w:val="bottom"/>
            <w:tcBorders>
              <w:bottom w:val="single" w:sz="8" w:color="CCEEFF"/>
            </w:tcBorders>
          </w:tcPr>
          <w:p>
            <w:pPr>
              <w:spacing w:after="0"/>
              <w:rPr>
                <w:sz w:val="20"/>
                <w:szCs w:val="20"/>
                <w:color w:val="auto"/>
              </w:rPr>
            </w:pPr>
          </w:p>
        </w:tc>
      </w:tr>
      <w:tr>
        <w:trPr>
          <w:trHeight w:val="210"/>
        </w:trPr>
        <w:tc>
          <w:tcPr>
            <w:tcW w:w="22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3Q18</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42.4%</w:t>
            </w:r>
          </w:p>
        </w:tc>
        <w:tc>
          <w:tcPr>
            <w:tcW w:w="13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60.2%</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30.9%</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43.6%</w:t>
            </w:r>
          </w:p>
        </w:tc>
      </w:tr>
      <w:tr>
        <w:trPr>
          <w:trHeight w:val="216"/>
        </w:trPr>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5"/>
              </w:rPr>
              <w:t>2Q19</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40.1%</w:t>
            </w:r>
          </w:p>
        </w:tc>
        <w:tc>
          <w:tcPr>
            <w:tcW w:w="1340" w:type="dxa"/>
            <w:vAlign w:val="bottom"/>
            <w:gridSpan w:val="2"/>
          </w:tcPr>
          <w:p>
            <w:pPr>
              <w:ind w:left="780"/>
              <w:spacing w:after="0"/>
              <w:rPr>
                <w:sz w:val="20"/>
                <w:szCs w:val="20"/>
                <w:color w:val="auto"/>
              </w:rPr>
            </w:pPr>
            <w:r>
              <w:rPr>
                <w:rFonts w:ascii="Arial" w:cs="Arial" w:eastAsia="Arial" w:hAnsi="Arial"/>
                <w:sz w:val="18"/>
                <w:szCs w:val="18"/>
                <w:color w:val="auto"/>
              </w:rPr>
              <w:t>61.7%</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52.3%</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27.7%</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40.6%</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43.1%</w:t>
            </w:r>
          </w:p>
        </w:tc>
      </w:tr>
      <w:tr>
        <w:trPr>
          <w:trHeight w:val="230"/>
        </w:trPr>
        <w:tc>
          <w:tcPr>
            <w:tcW w:w="22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3Q19</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40.8%</w:t>
            </w:r>
          </w:p>
        </w:tc>
        <w:tc>
          <w:tcPr>
            <w:tcW w:w="13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56.8%</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27.7%</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43.2%</w:t>
            </w:r>
          </w:p>
        </w:tc>
      </w:tr>
      <w:tr>
        <w:trPr>
          <w:trHeight w:val="210"/>
        </w:trPr>
        <w:tc>
          <w:tcPr>
            <w:tcW w:w="22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b w:val="1"/>
                <w:bCs w:val="1"/>
                <w:color w:val="auto"/>
                <w:w w:val="94"/>
              </w:rPr>
              <w:t>Var. QoQ</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 bps</w:t>
            </w:r>
          </w:p>
        </w:tc>
        <w:tc>
          <w:tcPr>
            <w:tcW w:w="26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b w:val="1"/>
                <w:bCs w:val="1"/>
                <w:color w:val="auto"/>
                <w:w w:val="84"/>
              </w:rPr>
              <w:t>-490 bps</w:t>
            </w:r>
          </w:p>
        </w:tc>
        <w:tc>
          <w:tcPr>
            <w:tcW w:w="26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 bps</w:t>
            </w:r>
          </w:p>
        </w:tc>
        <w:tc>
          <w:tcPr>
            <w:tcW w:w="24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 bps</w:t>
            </w:r>
          </w:p>
        </w:tc>
        <w:tc>
          <w:tcPr>
            <w:tcW w:w="26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340 bps</w:t>
            </w:r>
          </w:p>
        </w:tc>
        <w:tc>
          <w:tcPr>
            <w:tcW w:w="26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center"/>
              <w:ind w:left="530"/>
              <w:spacing w:after="0"/>
              <w:rPr>
                <w:sz w:val="20"/>
                <w:szCs w:val="20"/>
                <w:color w:val="auto"/>
              </w:rPr>
            </w:pPr>
            <w:r>
              <w:rPr>
                <w:rFonts w:ascii="Arial" w:cs="Arial" w:eastAsia="Arial" w:hAnsi="Arial"/>
                <w:sz w:val="18"/>
                <w:szCs w:val="18"/>
                <w:b w:val="1"/>
                <w:bCs w:val="1"/>
                <w:color w:val="auto"/>
                <w:w w:val="84"/>
              </w:rPr>
              <w:t>10 bps</w:t>
            </w:r>
          </w:p>
        </w:tc>
        <w:tc>
          <w:tcPr>
            <w:tcW w:w="180" w:type="dxa"/>
            <w:vAlign w:val="bottom"/>
            <w:tcBorders>
              <w:bottom w:val="single" w:sz="8" w:color="CCEEFF"/>
            </w:tcBorders>
          </w:tcPr>
          <w:p>
            <w:pPr>
              <w:spacing w:after="0"/>
              <w:rPr>
                <w:sz w:val="18"/>
                <w:szCs w:val="18"/>
                <w:color w:val="auto"/>
              </w:rPr>
            </w:pPr>
          </w:p>
        </w:tc>
      </w:tr>
      <w:tr>
        <w:trPr>
          <w:trHeight w:val="210"/>
        </w:trPr>
        <w:tc>
          <w:tcPr>
            <w:tcW w:w="22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Var. YoY</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 bps</w:t>
            </w:r>
          </w:p>
        </w:tc>
        <w:tc>
          <w:tcPr>
            <w:tcW w:w="26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b w:val="1"/>
                <w:bCs w:val="1"/>
                <w:color w:val="auto"/>
                <w:w w:val="84"/>
              </w:rPr>
              <w:t>-340 bps</w:t>
            </w:r>
          </w:p>
        </w:tc>
        <w:tc>
          <w:tcPr>
            <w:tcW w:w="26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530 bps</w:t>
            </w:r>
          </w:p>
        </w:tc>
        <w:tc>
          <w:tcPr>
            <w:tcW w:w="24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-320 bps</w:t>
            </w:r>
          </w:p>
        </w:tc>
        <w:tc>
          <w:tcPr>
            <w:tcW w:w="26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 bps</w:t>
            </w:r>
          </w:p>
        </w:tc>
        <w:tc>
          <w:tcPr>
            <w:tcW w:w="26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ind w:left="470"/>
              <w:spacing w:after="0"/>
              <w:rPr>
                <w:sz w:val="20"/>
                <w:szCs w:val="20"/>
                <w:color w:val="auto"/>
              </w:rPr>
            </w:pPr>
            <w:r>
              <w:rPr>
                <w:rFonts w:ascii="Arial" w:cs="Arial" w:eastAsia="Arial" w:hAnsi="Arial"/>
                <w:sz w:val="18"/>
                <w:szCs w:val="18"/>
                <w:b w:val="1"/>
                <w:bCs w:val="1"/>
                <w:color w:val="auto"/>
                <w:w w:val="85"/>
              </w:rPr>
              <w:t>-40 bps</w:t>
            </w:r>
          </w:p>
        </w:tc>
        <w:tc>
          <w:tcPr>
            <w:tcW w:w="180" w:type="dxa"/>
            <w:vAlign w:val="bottom"/>
            <w:shd w:val="clear" w:color="auto" w:fill="CCEEFF"/>
          </w:tcPr>
          <w:p>
            <w:pPr>
              <w:spacing w:after="0"/>
              <w:rPr>
                <w:sz w:val="18"/>
                <w:szCs w:val="18"/>
                <w:color w:val="auto"/>
              </w:rPr>
            </w:pPr>
          </w:p>
        </w:tc>
      </w:tr>
      <w:tr>
        <w:trPr>
          <w:trHeight w:val="210"/>
        </w:trPr>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2"/>
              </w:rPr>
              <w:t>YTD - Sep 18</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40.7%</w:t>
            </w:r>
          </w:p>
        </w:tc>
        <w:tc>
          <w:tcPr>
            <w:tcW w:w="1340" w:type="dxa"/>
            <w:vAlign w:val="bottom"/>
            <w:gridSpan w:val="2"/>
          </w:tcPr>
          <w:p>
            <w:pPr>
              <w:ind w:left="780"/>
              <w:spacing w:after="0"/>
              <w:rPr>
                <w:sz w:val="20"/>
                <w:szCs w:val="20"/>
                <w:color w:val="auto"/>
              </w:rPr>
            </w:pPr>
            <w:r>
              <w:rPr>
                <w:rFonts w:ascii="Arial" w:cs="Arial" w:eastAsia="Arial" w:hAnsi="Arial"/>
                <w:sz w:val="18"/>
                <w:szCs w:val="18"/>
                <w:color w:val="auto"/>
              </w:rPr>
              <w:t>62.6%</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47.5%</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31.8%</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46.0%</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43.2%</w:t>
            </w:r>
          </w:p>
        </w:tc>
      </w:tr>
      <w:tr>
        <w:trPr>
          <w:trHeight w:val="230"/>
        </w:trPr>
        <w:tc>
          <w:tcPr>
            <w:tcW w:w="22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YTD - Sep 19</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39.6%</w:t>
            </w:r>
          </w:p>
        </w:tc>
        <w:tc>
          <w:tcPr>
            <w:tcW w:w="13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60.0%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27.8%</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42.8%</w:t>
            </w:r>
          </w:p>
        </w:tc>
      </w:tr>
      <w:tr>
        <w:trPr>
          <w:trHeight w:val="210"/>
        </w:trPr>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2"/>
              </w:rPr>
              <w:t>% change</w:t>
            </w:r>
          </w:p>
        </w:tc>
        <w:tc>
          <w:tcPr>
            <w:tcW w:w="11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22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Sep 19 / Sep 18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 bps</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-260 bps</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500 bps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-400 bps</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-400 bps</w:t>
            </w:r>
          </w:p>
        </w:tc>
        <w:tc>
          <w:tcPr>
            <w:tcW w:w="1280" w:type="dxa"/>
            <w:vAlign w:val="bottom"/>
            <w:gridSpan w:val="2"/>
            <w:shd w:val="clear" w:color="auto" w:fill="CCEEFF"/>
          </w:tcPr>
          <w:p>
            <w:pPr>
              <w:jc w:val="center"/>
              <w:ind w:left="310"/>
              <w:spacing w:after="0"/>
              <w:rPr>
                <w:sz w:val="20"/>
                <w:szCs w:val="20"/>
                <w:color w:val="auto"/>
              </w:rPr>
            </w:pPr>
            <w:r>
              <w:rPr>
                <w:rFonts w:ascii="Arial" w:cs="Arial" w:eastAsia="Arial" w:hAnsi="Arial"/>
                <w:sz w:val="18"/>
                <w:szCs w:val="18"/>
                <w:b w:val="1"/>
                <w:bCs w:val="1"/>
                <w:color w:val="auto"/>
                <w:w w:val="88"/>
              </w:rPr>
              <w:t>-40 bps</w:t>
            </w:r>
          </w:p>
        </w:tc>
      </w:tr>
      <w:tr>
        <w:trPr>
          <w:trHeight w:val="20"/>
        </w:trPr>
        <w:tc>
          <w:tcPr>
            <w:tcW w:w="2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8"/>
        <w:spacing w:after="0" w:line="256" w:lineRule="auto"/>
        <w:tabs>
          <w:tab w:leader="none" w:pos="285" w:val="left"/>
        </w:tabs>
        <w:numPr>
          <w:ilvl w:val="0"/>
          <w:numId w:val="72"/>
        </w:numPr>
        <w:rPr>
          <w:rFonts w:ascii="Arial" w:cs="Arial" w:eastAsia="Arial" w:hAnsi="Arial"/>
          <w:sz w:val="18"/>
          <w:szCs w:val="18"/>
          <w:color w:val="auto"/>
        </w:rPr>
      </w:pPr>
      <w:r>
        <w:rPr>
          <w:rFonts w:ascii="Arial" w:cs="Arial" w:eastAsia="Arial" w:hAnsi="Arial"/>
          <w:sz w:val="18"/>
          <w:szCs w:val="18"/>
          <w:color w:val="auto"/>
        </w:rPr>
        <w:t>(Salaries and employee’s benefits + Administrative, general and tax expenses + Depreciation and amortization + Acquisition cost + Association in participation) / (Net interest income + Fee income + Net gain on foreign exchange transactions + Net gain from associates + Net gain on derivatives held for trading + Result on exchange differences + Net premiums earned).</w:t>
      </w:r>
    </w:p>
    <w:p>
      <w:pPr>
        <w:ind w:left="260" w:hanging="252"/>
        <w:spacing w:after="0"/>
        <w:tabs>
          <w:tab w:leader="none" w:pos="2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efficiency ratio differs from previously reported, please consider the data presented on this report.</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QoQ analysis, the deterioration in efficiency was attributable to seasonal effects on operating expenses; as such, the YoY analysis provides a clearer picture of the business result.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figure below shows the contribution of each subsidiary to the evolution of the efficiency ratio YoY.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YoY evolution of the efficiency ratio by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154940</wp:posOffset>
            </wp:positionV>
            <wp:extent cx="6671945" cy="19297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671945" cy="192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firstLine="8"/>
        <w:spacing w:after="0" w:line="258" w:lineRule="auto"/>
        <w:tabs>
          <w:tab w:leader="none" w:pos="267" w:val="left"/>
        </w:tabs>
        <w:numPr>
          <w:ilvl w:val="0"/>
          <w:numId w:val="73"/>
        </w:numPr>
        <w:rPr>
          <w:rFonts w:ascii="Arial" w:cs="Arial" w:eastAsia="Arial" w:hAnsi="Arial"/>
          <w:sz w:val="18"/>
          <w:szCs w:val="18"/>
          <w:color w:val="auto"/>
        </w:rPr>
      </w:pPr>
      <w:r>
        <w:rPr>
          <w:rFonts w:ascii="Arial" w:cs="Arial" w:eastAsia="Arial" w:hAnsi="Arial"/>
          <w:sz w:val="18"/>
          <w:szCs w:val="18"/>
          <w:color w:val="auto"/>
        </w:rPr>
        <w:t>Other operating income includes: Net gain on foreign exchange transactions, Net gain from associates, Net gain on derivatives held for trading and Net gain from exchange difference.</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Other operating expenses includes: Acquisition cost and Association in participation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improvement in efficiency at Credicorp YoY was due to:</w:t>
      </w:r>
    </w:p>
    <w:p>
      <w:pPr>
        <w:spacing w:after="0" w:line="225" w:lineRule="exact"/>
        <w:rPr>
          <w:sz w:val="20"/>
          <w:szCs w:val="20"/>
          <w:color w:val="auto"/>
        </w:rPr>
      </w:pPr>
    </w:p>
    <w:p>
      <w:pPr>
        <w:ind w:left="980" w:right="20" w:hanging="648"/>
        <w:spacing w:after="0" w:line="277" w:lineRule="auto"/>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Improvement at BCP Stand-alone, which was mainly attributable to an increase in interest income on loans, which was driven by loan growth YoY. The aforementioned offset the increase in operating expenses and;</w:t>
      </w:r>
    </w:p>
    <w:p>
      <w:pPr>
        <w:spacing w:after="0" w:line="170" w:lineRule="exact"/>
        <w:rPr>
          <w:rFonts w:ascii="Arial" w:cs="Arial" w:eastAsia="Arial" w:hAnsi="Arial"/>
          <w:sz w:val="18"/>
          <w:szCs w:val="18"/>
          <w:color w:val="auto"/>
        </w:rPr>
      </w:pPr>
    </w:p>
    <w:p>
      <w:pPr>
        <w:jc w:val="both"/>
        <w:ind w:left="980" w:hanging="648"/>
        <w:spacing w:after="0" w:line="259" w:lineRule="auto"/>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Grupo Pacifico, which registered an improvement that was primarily attributable to an increase in operating income. This growth was mainly the result of expansion in net earned premiums (primarily in the Life business) and, to a lesser extent, to a reduction in the acquisition cost of this business line. It is important to note that growth in net earned premiums was attenuated by an increase in net claims, which are not included in operating expenses.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aforementioned offset the deterioration in the efficiency ratio of (i) Mibanco, which was associated with growth in the sales force to increase long-term capacities and to the reduction in net interest income due to an uptick in competition and (ii) Credicorp Capital, due to an increase in expenses for salaries and employee benefits after the headcount was increased.</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 w:name="page44"/>
    <w:bookmarkEnd w:id="43"/>
    <w:p>
      <w:pPr>
        <w:spacing w:after="0" w:line="277" w:lineRule="auto"/>
        <w:rPr>
          <w:sz w:val="20"/>
          <w:szCs w:val="20"/>
          <w:color w:val="auto"/>
        </w:rPr>
      </w:pPr>
      <w:r>
        <w:rPr>
          <w:rFonts w:ascii="Arial" w:cs="Arial" w:eastAsia="Arial" w:hAnsi="Arial"/>
          <w:sz w:val="18"/>
          <w:szCs w:val="18"/>
          <w:color w:val="auto"/>
        </w:rPr>
        <w:t>YTD, the efficiency ratio by subsidiary posted results similar to that seen YoY. The figure below shows the impact of the variation of each subsidiary on the efficiency ratio at Credicorp:</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YTD evolution of the efficiency ratio by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292100</wp:posOffset>
            </wp:positionV>
            <wp:extent cx="6637655" cy="19640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637655" cy="196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firstLine="8"/>
        <w:spacing w:after="0" w:line="258" w:lineRule="auto"/>
        <w:tabs>
          <w:tab w:leader="none" w:pos="267" w:val="left"/>
        </w:tabs>
        <w:numPr>
          <w:ilvl w:val="0"/>
          <w:numId w:val="75"/>
        </w:numPr>
        <w:rPr>
          <w:rFonts w:ascii="Arial" w:cs="Arial" w:eastAsia="Arial" w:hAnsi="Arial"/>
          <w:sz w:val="18"/>
          <w:szCs w:val="18"/>
          <w:color w:val="auto"/>
        </w:rPr>
      </w:pPr>
      <w:r>
        <w:rPr>
          <w:rFonts w:ascii="Arial" w:cs="Arial" w:eastAsia="Arial" w:hAnsi="Arial"/>
          <w:sz w:val="18"/>
          <w:szCs w:val="18"/>
          <w:color w:val="auto"/>
        </w:rPr>
        <w:t>Other operating income includes: Net gain on foreign exchange transactions, Net gain from associates, Net gain on derivatives held for trading and Net gain from exchange difference.</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Other operating expenses includes: Acquisition cost and Association in participation</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4"/>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8. Regulatory Capital</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8.1. Regulatory Capital – BAP</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w w:val="98"/>
              </w:rPr>
              <w:t>Regulatory Capital and Capital Adequacy Ratios</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As of</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3"/>
          </w:tcPr>
          <w:p>
            <w:pPr>
              <w:ind w:left="960"/>
              <w:spacing w:after="0"/>
              <w:rPr>
                <w:sz w:val="20"/>
                <w:szCs w:val="20"/>
                <w:color w:val="auto"/>
              </w:rPr>
            </w:pPr>
            <w:r>
              <w:rPr>
                <w:rFonts w:ascii="Arial" w:cs="Arial" w:eastAsia="Arial" w:hAnsi="Arial"/>
                <w:sz w:val="18"/>
                <w:szCs w:val="18"/>
                <w:b w:val="1"/>
                <w:bCs w:val="1"/>
                <w:color w:val="auto"/>
              </w:rPr>
              <w:t>% Change</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3Q18</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2Q19</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3Q19</w:t>
            </w:r>
          </w:p>
        </w:tc>
        <w:tc>
          <w:tcPr>
            <w:tcW w:w="200" w:type="dxa"/>
            <w:vAlign w:val="bottom"/>
            <w:tcBorders>
              <w:bottom w:val="single" w:sz="8" w:color="CCEEFF"/>
            </w:tcBorders>
            <w:gridSpan w:val="2"/>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Capital Stock</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1,318,993</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1,318,993</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1,318,993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0.0%</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Treasury Stocks</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(207,994)</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(207,839)</w:t>
            </w: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(207,839)</w:t>
            </w: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0.0%</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Surplus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249,398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227,380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222,605</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-2.1%</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57"/>
        </w:trPr>
        <w:tc>
          <w:tcPr>
            <w:tcW w:w="408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Legal and Other capital reserves </w:t>
            </w:r>
            <w:r>
              <w:rPr>
                <w:rFonts w:ascii="Arial" w:cs="Arial" w:eastAsia="Arial" w:hAnsi="Arial"/>
                <w:sz w:val="29"/>
                <w:szCs w:val="29"/>
                <w:color w:val="auto"/>
                <w:vertAlign w:val="superscript"/>
              </w:rPr>
              <w:t>(1)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17,576,109</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19,423,324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19,416,912</w:t>
            </w:r>
          </w:p>
        </w:tc>
        <w:tc>
          <w:tcPr>
            <w:tcW w:w="180" w:type="dxa"/>
            <w:vAlign w:val="bottom"/>
          </w:tcPr>
          <w:p>
            <w:pPr>
              <w:spacing w:after="0"/>
              <w:rPr>
                <w:sz w:val="22"/>
                <w:szCs w:val="22"/>
                <w:color w:val="auto"/>
              </w:rPr>
            </w:pP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0.0%</w:t>
            </w:r>
          </w:p>
        </w:tc>
        <w:tc>
          <w:tcPr>
            <w:tcW w:w="36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57"/>
        </w:trPr>
        <w:tc>
          <w:tcPr>
            <w:tcW w:w="40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Minority interest </w:t>
            </w:r>
            <w:r>
              <w:rPr>
                <w:rFonts w:ascii="Arial" w:cs="Arial" w:eastAsia="Arial" w:hAnsi="Arial"/>
                <w:sz w:val="29"/>
                <w:szCs w:val="29"/>
                <w:color w:val="auto"/>
                <w:vertAlign w:val="superscript"/>
              </w:rPr>
              <w:t>(2)</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311,469</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357,067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357,157</w:t>
            </w:r>
          </w:p>
        </w:tc>
        <w:tc>
          <w:tcPr>
            <w:tcW w:w="18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0.0%</w:t>
            </w:r>
          </w:p>
        </w:tc>
        <w:tc>
          <w:tcPr>
            <w:tcW w:w="3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57"/>
        </w:trPr>
        <w:tc>
          <w:tcPr>
            <w:tcW w:w="408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Loan loss reserves </w:t>
            </w:r>
            <w:r>
              <w:rPr>
                <w:rFonts w:ascii="Arial" w:cs="Arial" w:eastAsia="Arial" w:hAnsi="Arial"/>
                <w:sz w:val="29"/>
                <w:szCs w:val="29"/>
                <w:color w:val="auto"/>
                <w:vertAlign w:val="superscript"/>
              </w:rPr>
              <w:t>(3)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1,476,168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1,608,215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1,633,135</w:t>
            </w:r>
          </w:p>
        </w:tc>
        <w:tc>
          <w:tcPr>
            <w:tcW w:w="180" w:type="dxa"/>
            <w:vAlign w:val="bottom"/>
          </w:tcPr>
          <w:p>
            <w:pPr>
              <w:spacing w:after="0"/>
              <w:rPr>
                <w:sz w:val="22"/>
                <w:szCs w:val="22"/>
                <w:color w:val="auto"/>
              </w:rPr>
            </w:pP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Perpetual subordinated debt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660,000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575,225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592,025</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2.9%</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Subordinated Debt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4,680,739</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4,735,573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4,778,365</w:t>
            </w:r>
          </w:p>
        </w:tc>
        <w:tc>
          <w:tcPr>
            <w:tcW w:w="180" w:type="dxa"/>
            <w:vAlign w:val="bottom"/>
          </w:tcPr>
          <w:p>
            <w:pPr>
              <w:spacing w:after="0"/>
              <w:rPr>
                <w:sz w:val="18"/>
                <w:szCs w:val="18"/>
                <w:color w:val="auto"/>
              </w:rPr>
            </w:pP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0.9%</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2"/>
        </w:trPr>
        <w:tc>
          <w:tcPr>
            <w:tcW w:w="4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Investments in equity and subordinated debt of</w:t>
            </w: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financial and insurance companies</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(604,352)</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(777,011)</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(775,048)</w:t>
            </w:r>
          </w:p>
        </w:tc>
        <w:tc>
          <w:tcPr>
            <w:tcW w:w="15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-0.3%</w:t>
            </w:r>
          </w:p>
        </w:tc>
        <w:tc>
          <w:tcPr>
            <w:tcW w:w="3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(635,968)</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(601,333)</w:t>
            </w: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(621,686)</w:t>
            </w: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5"/>
        </w:trPr>
        <w:tc>
          <w:tcPr>
            <w:tcW w:w="408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w w:val="99"/>
              </w:rPr>
              <w:t>Deduction for subordinated debt limit (50% of Tier I</w:t>
            </w: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4080" w:type="dxa"/>
            <w:vAlign w:val="bottom"/>
            <w:gridSpan w:val="2"/>
            <w:shd w:val="clear" w:color="auto" w:fill="CCEEFF"/>
          </w:tcPr>
          <w:p>
            <w:pPr>
              <w:ind w:left="180"/>
              <w:spacing w:after="0" w:line="266" w:lineRule="exact"/>
              <w:rPr>
                <w:sz w:val="20"/>
                <w:szCs w:val="20"/>
                <w:color w:val="auto"/>
              </w:rPr>
            </w:pPr>
            <w:r>
              <w:rPr>
                <w:rFonts w:ascii="Arial" w:cs="Arial" w:eastAsia="Arial" w:hAnsi="Arial"/>
                <w:sz w:val="18"/>
                <w:szCs w:val="18"/>
                <w:color w:val="auto"/>
              </w:rPr>
              <w:t xml:space="preserve">excluding deductions) </w:t>
            </w:r>
            <w:r>
              <w:rPr>
                <w:rFonts w:ascii="Arial" w:cs="Arial" w:eastAsia="Arial" w:hAnsi="Arial"/>
                <w:sz w:val="30"/>
                <w:szCs w:val="30"/>
                <w:color w:val="auto"/>
                <w:vertAlign w:val="superscript"/>
              </w:rPr>
              <w:t>(4)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4080" w:type="dxa"/>
            <w:vAlign w:val="bottom"/>
            <w:gridSpan w:val="2"/>
          </w:tcPr>
          <w:p>
            <w:pPr>
              <w:spacing w:after="0" w:line="206" w:lineRule="exact"/>
              <w:rPr>
                <w:sz w:val="20"/>
                <w:szCs w:val="20"/>
                <w:color w:val="auto"/>
              </w:rPr>
            </w:pPr>
            <w:r>
              <w:rPr>
                <w:rFonts w:ascii="Arial" w:cs="Arial" w:eastAsia="Arial" w:hAnsi="Arial"/>
                <w:sz w:val="18"/>
                <w:szCs w:val="18"/>
                <w:color w:val="auto"/>
                <w:w w:val="97"/>
              </w:rPr>
              <w:t>Deduction for Tier I Limit (50% of Regulatory capital)</w:t>
            </w:r>
          </w:p>
        </w:tc>
        <w:tc>
          <w:tcPr>
            <w:tcW w:w="14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w:t>
            </w:r>
          </w:p>
        </w:tc>
        <w:tc>
          <w:tcPr>
            <w:tcW w:w="1900" w:type="dxa"/>
            <w:vAlign w:val="bottom"/>
            <w:gridSpan w:val="3"/>
            <w:vMerge w:val="restart"/>
          </w:tcPr>
          <w:p>
            <w:pPr>
              <w:jc w:val="right"/>
              <w:ind w:right="64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3960" w:type="dxa"/>
            <w:vAlign w:val="bottom"/>
          </w:tcPr>
          <w:p>
            <w:pPr>
              <w:spacing w:after="0"/>
              <w:rPr>
                <w:sz w:val="20"/>
                <w:szCs w:val="20"/>
                <w:color w:val="auto"/>
              </w:rPr>
            </w:pPr>
            <w:r>
              <w:rPr>
                <w:rFonts w:ascii="Arial" w:cs="Arial" w:eastAsia="Arial" w:hAnsi="Arial"/>
                <w:sz w:val="15"/>
                <w:szCs w:val="15"/>
                <w:color w:val="auto"/>
              </w:rPr>
              <w:t>(4)</w:t>
            </w:r>
          </w:p>
        </w:tc>
        <w:tc>
          <w:tcPr>
            <w:tcW w:w="12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1440" w:type="dxa"/>
            <w:vAlign w:val="bottom"/>
            <w:gridSpan w:val="3"/>
            <w:vMerge w:val="continue"/>
          </w:tcPr>
          <w:p>
            <w:pPr>
              <w:spacing w:after="0"/>
              <w:rPr>
                <w:sz w:val="19"/>
                <w:szCs w:val="19"/>
                <w:color w:val="auto"/>
              </w:rPr>
            </w:pPr>
          </w:p>
        </w:tc>
        <w:tc>
          <w:tcPr>
            <w:tcW w:w="1900" w:type="dxa"/>
            <w:vAlign w:val="bottom"/>
            <w:gridSpan w:val="3"/>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Regulatory Capital (A)</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24,824,563</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26,659,594</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26,714,619</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37"/>
        </w:trPr>
        <w:tc>
          <w:tcPr>
            <w:tcW w:w="4080" w:type="dxa"/>
            <w:vAlign w:val="bottom"/>
            <w:gridSpan w:val="2"/>
          </w:tcPr>
          <w:p>
            <w:pPr>
              <w:spacing w:after="0" w:line="236" w:lineRule="exact"/>
              <w:rPr>
                <w:sz w:val="20"/>
                <w:szCs w:val="20"/>
                <w:color w:val="auto"/>
              </w:rPr>
            </w:pPr>
            <w:r>
              <w:rPr>
                <w:rFonts w:ascii="Arial" w:cs="Arial" w:eastAsia="Arial" w:hAnsi="Arial"/>
                <w:sz w:val="17"/>
                <w:szCs w:val="17"/>
                <w:color w:val="auto"/>
              </w:rPr>
              <w:t xml:space="preserve">Tier 1 </w:t>
            </w:r>
            <w:r>
              <w:rPr>
                <w:rFonts w:ascii="Arial" w:cs="Arial" w:eastAsia="Arial" w:hAnsi="Arial"/>
                <w:sz w:val="27"/>
                <w:szCs w:val="27"/>
                <w:color w:val="auto"/>
                <w:vertAlign w:val="superscript"/>
              </w:rPr>
              <w:t>(5)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13,464,685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14,746,304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14,739,047</w:t>
            </w:r>
          </w:p>
        </w:tc>
        <w:tc>
          <w:tcPr>
            <w:tcW w:w="180" w:type="dxa"/>
            <w:vAlign w:val="bottom"/>
          </w:tcPr>
          <w:p>
            <w:pPr>
              <w:spacing w:after="0"/>
              <w:rPr>
                <w:sz w:val="20"/>
                <w:szCs w:val="20"/>
                <w:color w:val="auto"/>
              </w:rPr>
            </w:pP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0.0%</w:t>
            </w:r>
          </w:p>
        </w:tc>
        <w:tc>
          <w:tcPr>
            <w:tcW w:w="3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0"/>
        </w:trPr>
        <w:tc>
          <w:tcPr>
            <w:tcW w:w="408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Tier 2 </w:t>
            </w:r>
            <w:r>
              <w:rPr>
                <w:rFonts w:ascii="Arial" w:cs="Arial" w:eastAsia="Arial" w:hAnsi="Arial"/>
                <w:sz w:val="30"/>
                <w:szCs w:val="30"/>
                <w:color w:val="auto"/>
                <w:vertAlign w:val="superscript"/>
              </w:rPr>
              <w:t>(6)</w:t>
            </w:r>
            <w:r>
              <w:rPr>
                <w:rFonts w:ascii="Arial" w:cs="Arial" w:eastAsia="Arial" w:hAnsi="Arial"/>
                <w:sz w:val="18"/>
                <w:szCs w:val="18"/>
                <w:color w:val="auto"/>
              </w:rPr>
              <w:t xml:space="preserve"> + Tier 3 </w:t>
            </w:r>
            <w:r>
              <w:rPr>
                <w:rFonts w:ascii="Arial" w:cs="Arial" w:eastAsia="Arial" w:hAnsi="Arial"/>
                <w:sz w:val="30"/>
                <w:szCs w:val="30"/>
                <w:color w:val="auto"/>
                <w:vertAlign w:val="superscript"/>
              </w:rPr>
              <w:t>(7)</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11,359,877</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11,913,290</w:t>
            </w: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11,975,572</w:t>
            </w:r>
          </w:p>
        </w:tc>
        <w:tc>
          <w:tcPr>
            <w:tcW w:w="15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0.5%</w:t>
            </w:r>
          </w:p>
        </w:tc>
        <w:tc>
          <w:tcPr>
            <w:tcW w:w="3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85"/>
        </w:trPr>
        <w:tc>
          <w:tcPr>
            <w:tcW w:w="4080" w:type="dxa"/>
            <w:vAlign w:val="bottom"/>
            <w:gridSpan w:val="2"/>
          </w:tcPr>
          <w:p>
            <w:pPr>
              <w:spacing w:after="0" w:line="186" w:lineRule="exact"/>
              <w:rPr>
                <w:sz w:val="20"/>
                <w:szCs w:val="20"/>
                <w:color w:val="auto"/>
              </w:rPr>
            </w:pPr>
            <w:r>
              <w:rPr>
                <w:rFonts w:ascii="Arial" w:cs="Arial" w:eastAsia="Arial" w:hAnsi="Arial"/>
                <w:sz w:val="18"/>
                <w:szCs w:val="18"/>
                <w:color w:val="auto"/>
              </w:rPr>
              <w:t>Financial Consolidated Group (FCG) Regulatory</w:t>
            </w:r>
          </w:p>
        </w:tc>
        <w:tc>
          <w:tcPr>
            <w:tcW w:w="12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4080" w:type="dxa"/>
            <w:vAlign w:val="bottom"/>
            <w:gridSpan w:val="2"/>
          </w:tcPr>
          <w:p>
            <w:pPr>
              <w:ind w:left="180"/>
              <w:spacing w:after="0" w:line="266" w:lineRule="exact"/>
              <w:rPr>
                <w:sz w:val="20"/>
                <w:szCs w:val="20"/>
                <w:color w:val="auto"/>
              </w:rPr>
            </w:pPr>
            <w:r>
              <w:rPr>
                <w:rFonts w:ascii="Arial" w:cs="Arial" w:eastAsia="Arial" w:hAnsi="Arial"/>
                <w:sz w:val="18"/>
                <w:szCs w:val="18"/>
                <w:color w:val="auto"/>
              </w:rPr>
              <w:t xml:space="preserve">Capital Requirements </w:t>
            </w:r>
            <w:r>
              <w:rPr>
                <w:rFonts w:ascii="Arial" w:cs="Arial" w:eastAsia="Arial" w:hAnsi="Arial"/>
                <w:sz w:val="30"/>
                <w:szCs w:val="30"/>
                <w:color w:val="auto"/>
                <w:vertAlign w:val="superscript"/>
              </w:rPr>
              <w:t>(8)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19,110,797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19,877,961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20,170,802</w:t>
            </w:r>
          </w:p>
        </w:tc>
        <w:tc>
          <w:tcPr>
            <w:tcW w:w="180" w:type="dxa"/>
            <w:vAlign w:val="bottom"/>
          </w:tcPr>
          <w:p>
            <w:pPr>
              <w:spacing w:after="0"/>
              <w:rPr>
                <w:sz w:val="23"/>
                <w:szCs w:val="23"/>
                <w:color w:val="auto"/>
              </w:rPr>
            </w:pP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5"/>
        </w:trPr>
        <w:tc>
          <w:tcPr>
            <w:tcW w:w="408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Insurance Consolidated Group (ICG) Capital</w:t>
            </w: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4080" w:type="dxa"/>
            <w:vAlign w:val="bottom"/>
            <w:gridSpan w:val="2"/>
            <w:shd w:val="clear" w:color="auto" w:fill="CCEEFF"/>
          </w:tcPr>
          <w:p>
            <w:pPr>
              <w:spacing w:after="0" w:line="266" w:lineRule="exact"/>
              <w:rPr>
                <w:sz w:val="20"/>
                <w:szCs w:val="20"/>
                <w:color w:val="auto"/>
              </w:rPr>
            </w:pPr>
            <w:r>
              <w:rPr>
                <w:rFonts w:ascii="Arial" w:cs="Arial" w:eastAsia="Arial" w:hAnsi="Arial"/>
                <w:sz w:val="18"/>
                <w:szCs w:val="18"/>
                <w:color w:val="auto"/>
              </w:rPr>
              <w:t xml:space="preserve">Requirements </w:t>
            </w:r>
            <w:r>
              <w:rPr>
                <w:rFonts w:ascii="Arial" w:cs="Arial" w:eastAsia="Arial" w:hAnsi="Arial"/>
                <w:sz w:val="30"/>
                <w:szCs w:val="30"/>
                <w:color w:val="auto"/>
                <w:vertAlign w:val="superscript"/>
              </w:rPr>
              <w:t>(9)</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983,100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1,090,628</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1,139,617</w:t>
            </w:r>
          </w:p>
        </w:tc>
        <w:tc>
          <w:tcPr>
            <w:tcW w:w="1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4.5%</w:t>
            </w:r>
          </w:p>
        </w:tc>
        <w:tc>
          <w:tcPr>
            <w:tcW w:w="3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2"/>
        </w:trPr>
        <w:tc>
          <w:tcPr>
            <w:tcW w:w="4080" w:type="dxa"/>
            <w:vAlign w:val="bottom"/>
            <w:gridSpan w:val="2"/>
          </w:tcPr>
          <w:p>
            <w:pPr>
              <w:spacing w:after="0" w:line="201" w:lineRule="exact"/>
              <w:rPr>
                <w:sz w:val="20"/>
                <w:szCs w:val="20"/>
                <w:color w:val="auto"/>
              </w:rPr>
            </w:pPr>
            <w:r>
              <w:rPr>
                <w:rFonts w:ascii="Arial" w:cs="Arial" w:eastAsia="Arial" w:hAnsi="Arial"/>
                <w:sz w:val="18"/>
                <w:szCs w:val="18"/>
                <w:color w:val="auto"/>
                <w:w w:val="96"/>
              </w:rPr>
              <w:t>FCG Capital Requirements related to operations with</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ICG</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(225,561)</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(235,272)</w:t>
            </w: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(236,036)</w:t>
            </w: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0.3%</w:t>
            </w:r>
          </w:p>
        </w:tc>
        <w:tc>
          <w:tcPr>
            <w:tcW w:w="3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2"/>
        </w:trPr>
        <w:tc>
          <w:tcPr>
            <w:tcW w:w="4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ICG Capital Requirements related to operations with</w:t>
            </w: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FCG</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Regulatory Capital Requirements (B)</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19,868,336</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20,733,318</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21,074,383</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2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Regulatory Capital Ratio (A) / (B)</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w:t>
            </w:r>
          </w:p>
        </w:tc>
        <w:tc>
          <w:tcPr>
            <w:tcW w:w="2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w:t>
            </w:r>
          </w:p>
        </w:tc>
        <w:tc>
          <w:tcPr>
            <w:tcW w:w="2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80" w:type="dxa"/>
            <w:vAlign w:val="bottom"/>
            <w:gridSpan w:val="2"/>
          </w:tcPr>
          <w:p>
            <w:pPr>
              <w:spacing w:after="0" w:line="250" w:lineRule="exact"/>
              <w:rPr>
                <w:sz w:val="20"/>
                <w:szCs w:val="20"/>
                <w:color w:val="auto"/>
              </w:rPr>
            </w:pPr>
            <w:r>
              <w:rPr>
                <w:rFonts w:ascii="Arial" w:cs="Arial" w:eastAsia="Arial" w:hAnsi="Arial"/>
                <w:sz w:val="17"/>
                <w:szCs w:val="17"/>
                <w:b w:val="1"/>
                <w:bCs w:val="1"/>
                <w:color w:val="auto"/>
              </w:rPr>
              <w:t xml:space="preserve">Required Regulatory Capital Ratio </w:t>
            </w:r>
            <w:r>
              <w:rPr>
                <w:rFonts w:ascii="Arial" w:cs="Arial" w:eastAsia="Arial" w:hAnsi="Arial"/>
                <w:sz w:val="28"/>
                <w:szCs w:val="28"/>
                <w:color w:val="auto"/>
                <w:vertAlign w:val="superscript"/>
              </w:rPr>
              <w:t>(10)</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22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220" w:type="dxa"/>
            <w:vAlign w:val="bottom"/>
          </w:tcPr>
          <w:p>
            <w:pPr>
              <w:spacing w:after="0"/>
              <w:rPr>
                <w:sz w:val="21"/>
                <w:szCs w:val="21"/>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1.00</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Legal and other capital reserves include restricted capital reserves (S/ 13,465 million) and optional capital reserves (S/ 5,952 million).</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Minority interest includes Tier I (S/ 357 million)</w:t>
      </w:r>
    </w:p>
    <w:p>
      <w:pPr>
        <w:spacing w:after="0" w:line="9" w:lineRule="exact"/>
        <w:rPr>
          <w:rFonts w:ascii="Arial" w:cs="Arial" w:eastAsia="Arial" w:hAnsi="Arial"/>
          <w:sz w:val="18"/>
          <w:szCs w:val="18"/>
          <w:color w:val="auto"/>
        </w:rPr>
      </w:pPr>
    </w:p>
    <w:p>
      <w:pPr>
        <w:ind w:firstLine="8"/>
        <w:spacing w:after="0" w:line="250" w:lineRule="auto"/>
        <w:tabs>
          <w:tab w:leader="none" w:pos="268" w:val="left"/>
        </w:tabs>
        <w:numPr>
          <w:ilvl w:val="0"/>
          <w:numId w:val="76"/>
        </w:numPr>
        <w:rPr>
          <w:rFonts w:ascii="Arial" w:cs="Arial" w:eastAsia="Arial" w:hAnsi="Arial"/>
          <w:sz w:val="18"/>
          <w:szCs w:val="18"/>
          <w:color w:val="auto"/>
        </w:rPr>
      </w:pPr>
      <w:r>
        <w:rPr>
          <w:rFonts w:ascii="Arial" w:cs="Arial" w:eastAsia="Arial" w:hAnsi="Arial"/>
          <w:sz w:val="18"/>
          <w:szCs w:val="18"/>
          <w:color w:val="auto"/>
        </w:rPr>
        <w:t>Up to 1.25% of total risk-weighted assets of Banco de Credito del Peru, Solucioo Empresa Administradora Hipotecaria, Mibanco and Atlantic Security Bank.</w:t>
      </w:r>
    </w:p>
    <w:p>
      <w:pPr>
        <w:ind w:left="260" w:hanging="252"/>
        <w:spacing w:after="0"/>
        <w:tabs>
          <w:tab w:leader="none" w:pos="2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Tier II + Tier III cannot be more than 50% of total regulatory capital.</w:t>
      </w:r>
    </w:p>
    <w:p>
      <w:pPr>
        <w:spacing w:after="0" w:line="9" w:lineRule="exact"/>
        <w:rPr>
          <w:rFonts w:ascii="Arial" w:cs="Arial" w:eastAsia="Arial" w:hAnsi="Arial"/>
          <w:sz w:val="18"/>
          <w:szCs w:val="18"/>
          <w:color w:val="auto"/>
        </w:rPr>
      </w:pPr>
    </w:p>
    <w:p>
      <w:pPr>
        <w:ind w:firstLine="8"/>
        <w:spacing w:after="0" w:line="250" w:lineRule="auto"/>
        <w:tabs>
          <w:tab w:leader="none" w:pos="275" w:val="left"/>
        </w:tabs>
        <w:numPr>
          <w:ilvl w:val="0"/>
          <w:numId w:val="76"/>
        </w:numPr>
        <w:rPr>
          <w:rFonts w:ascii="Arial" w:cs="Arial" w:eastAsia="Arial" w:hAnsi="Arial"/>
          <w:sz w:val="18"/>
          <w:szCs w:val="18"/>
          <w:color w:val="auto"/>
        </w:rPr>
      </w:pPr>
      <w:r>
        <w:rPr>
          <w:rFonts w:ascii="Arial" w:cs="Arial" w:eastAsia="Arial" w:hAnsi="Arial"/>
          <w:sz w:val="18"/>
          <w:szCs w:val="18"/>
          <w:color w:val="auto"/>
        </w:rPr>
        <w:t>Tier I = capital + restricted capital reserves + Tier I minority interest - goodwill - (0.5 x investment in equity and subordinated debt of financial and insurance companies) + perpetual subordinated debt.</w:t>
      </w:r>
    </w:p>
    <w:p>
      <w:pPr>
        <w:ind w:firstLine="8"/>
        <w:spacing w:after="0" w:line="250" w:lineRule="auto"/>
        <w:tabs>
          <w:tab w:leader="none" w:pos="2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Tier II = subordinated debt + TierII minority interest tier + loan loss reserves - (0.5 x investment in equity and subordinated debt of financial and insurance companies).</w:t>
      </w:r>
    </w:p>
    <w:p>
      <w:pPr>
        <w:ind w:left="260" w:hanging="252"/>
        <w:spacing w:after="0"/>
        <w:tabs>
          <w:tab w:leader="none" w:pos="2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Tier III = Subordinated debt covering market risk only.</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Includes regulatory capital requirements of the financial consolidated group.</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Includes regulatory capital requirements of the insurance consolidated group.</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Regulatory Capital / Total Regulatory Capital Requirements (legal minimum = 1.00).</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Credicorp’s total regulatory capital remained stable QoQ but increased 7.6% YoY due to growth in legal and other capital reserves, as announced in 1Q19.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total regulatory capital requirement increased 1.6% QoQ and 6.1% YoY.</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Credicorp’s Regulatory Capital Ratio continued to be situated at a comfortable level at the end of 3Q19 and represented 1.27 times the capital required by the Peruvian regulator at the end of 3Q19.</w:t>
      </w:r>
    </w:p>
    <w:p>
      <w:pPr>
        <w:spacing w:after="0" w:line="38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4"/>
        </w:trPr>
        <w:tc>
          <w:tcPr>
            <w:tcW w:w="5460" w:type="dxa"/>
            <w:vAlign w:val="bottom"/>
            <w:gridSpan w:val="4"/>
          </w:tcPr>
          <w:p>
            <w:pPr>
              <w:spacing w:after="0"/>
              <w:rPr>
                <w:sz w:val="20"/>
                <w:szCs w:val="20"/>
                <w:color w:val="auto"/>
              </w:rPr>
            </w:pPr>
            <w:r>
              <w:rPr>
                <w:rFonts w:ascii="Arial" w:cs="Arial" w:eastAsia="Arial" w:hAnsi="Arial"/>
                <w:sz w:val="18"/>
                <w:szCs w:val="18"/>
                <w:b w:val="1"/>
                <w:bCs w:val="1"/>
                <w:color w:val="auto"/>
                <w:w w:val="99"/>
              </w:rPr>
              <w:t>8.2. Regulatory Capital – BCP Stand-alone based on Peru GAAP</w:t>
            </w: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7"/>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w w:val="95"/>
              </w:rPr>
              <w:t>Regulatory Capital and Capital Adequacy Ratios</w:t>
            </w: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As of</w:t>
            </w: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gridSpan w:val="3"/>
          </w:tcPr>
          <w:p>
            <w:pPr>
              <w:ind w:left="1000"/>
              <w:spacing w:after="0"/>
              <w:rPr>
                <w:sz w:val="20"/>
                <w:szCs w:val="20"/>
                <w:color w:val="auto"/>
              </w:rPr>
            </w:pPr>
            <w:r>
              <w:rPr>
                <w:rFonts w:ascii="Arial" w:cs="Arial" w:eastAsia="Arial" w:hAnsi="Arial"/>
                <w:sz w:val="18"/>
                <w:szCs w:val="18"/>
                <w:b w:val="1"/>
                <w:bCs w:val="1"/>
                <w:color w:val="auto"/>
                <w:w w:val="99"/>
              </w:rPr>
              <w:t>% change</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3Q18</w:t>
            </w:r>
          </w:p>
        </w:tc>
        <w:tc>
          <w:tcPr>
            <w:tcW w:w="26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2Q19</w:t>
            </w:r>
          </w:p>
        </w:tc>
        <w:tc>
          <w:tcPr>
            <w:tcW w:w="2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3Q19</w:t>
            </w:r>
          </w:p>
        </w:tc>
        <w:tc>
          <w:tcPr>
            <w:tcW w:w="26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Capital Stock</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8,770,365</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10,217,387</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10,217,387</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0.0%</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Legal and Other capital reserves</w:t>
            </w:r>
          </w:p>
        </w:tc>
        <w:tc>
          <w:tcPr>
            <w:tcW w:w="1240" w:type="dxa"/>
            <w:vAlign w:val="bottom"/>
          </w:tcPr>
          <w:p>
            <w:pPr>
              <w:jc w:val="right"/>
              <w:spacing w:after="0"/>
              <w:rPr>
                <w:sz w:val="20"/>
                <w:szCs w:val="20"/>
                <w:color w:val="auto"/>
              </w:rPr>
            </w:pPr>
            <w:r>
              <w:rPr>
                <w:rFonts w:ascii="Arial" w:cs="Arial" w:eastAsia="Arial" w:hAnsi="Arial"/>
                <w:sz w:val="18"/>
                <w:szCs w:val="18"/>
                <w:color w:val="auto"/>
              </w:rPr>
              <w:t>4,184,309</w:t>
            </w:r>
          </w:p>
        </w:tc>
        <w:tc>
          <w:tcPr>
            <w:tcW w:w="26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4,695,118</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4,695,118</w:t>
            </w:r>
          </w:p>
        </w:tc>
        <w:tc>
          <w:tcPr>
            <w:tcW w:w="1520" w:type="dxa"/>
            <w:vAlign w:val="bottom"/>
            <w:gridSpan w:val="2"/>
          </w:tcPr>
          <w:p>
            <w:pPr>
              <w:jc w:val="right"/>
              <w:ind w:right="50"/>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Accumulated earnings with capitalization agreement</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850,000</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57"/>
        </w:trPr>
        <w:tc>
          <w:tcPr>
            <w:tcW w:w="396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Loan loss reserves </w:t>
            </w:r>
            <w:r>
              <w:rPr>
                <w:rFonts w:ascii="Arial" w:cs="Arial" w:eastAsia="Arial" w:hAnsi="Arial"/>
                <w:sz w:val="29"/>
                <w:szCs w:val="29"/>
                <w:color w:val="auto"/>
                <w:vertAlign w:val="superscript"/>
              </w:rPr>
              <w:t>(1)</w:t>
            </w:r>
          </w:p>
        </w:tc>
        <w:tc>
          <w:tcPr>
            <w:tcW w:w="1240" w:type="dxa"/>
            <w:vAlign w:val="bottom"/>
          </w:tcPr>
          <w:p>
            <w:pPr>
              <w:jc w:val="right"/>
              <w:spacing w:after="0"/>
              <w:rPr>
                <w:sz w:val="20"/>
                <w:szCs w:val="20"/>
                <w:color w:val="auto"/>
              </w:rPr>
            </w:pPr>
            <w:r>
              <w:rPr>
                <w:rFonts w:ascii="Arial" w:cs="Arial" w:eastAsia="Arial" w:hAnsi="Arial"/>
                <w:sz w:val="18"/>
                <w:szCs w:val="18"/>
                <w:color w:val="auto"/>
              </w:rPr>
              <w:t>1,190,912</w:t>
            </w:r>
          </w:p>
        </w:tc>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1,298,104</w:t>
            </w:r>
          </w:p>
        </w:tc>
        <w:tc>
          <w:tcPr>
            <w:tcW w:w="2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1,320,345</w:t>
            </w:r>
          </w:p>
        </w:tc>
        <w:tc>
          <w:tcPr>
            <w:tcW w:w="260" w:type="dxa"/>
            <w:vAlign w:val="bottom"/>
          </w:tcPr>
          <w:p>
            <w:pPr>
              <w:spacing w:after="0"/>
              <w:rPr>
                <w:sz w:val="22"/>
                <w:szCs w:val="22"/>
                <w:color w:val="auto"/>
              </w:rPr>
            </w:pPr>
          </w:p>
        </w:tc>
        <w:tc>
          <w:tcPr>
            <w:tcW w:w="1520" w:type="dxa"/>
            <w:vAlign w:val="bottom"/>
            <w:gridSpan w:val="2"/>
          </w:tcPr>
          <w:p>
            <w:pPr>
              <w:jc w:val="right"/>
              <w:ind w:right="50"/>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Perpetual subordinated debt</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660,000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575,225</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592,025</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2.9%</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Subordinated Debt</w:t>
            </w:r>
          </w:p>
        </w:tc>
        <w:tc>
          <w:tcPr>
            <w:tcW w:w="1240" w:type="dxa"/>
            <w:vAlign w:val="bottom"/>
          </w:tcPr>
          <w:p>
            <w:pPr>
              <w:jc w:val="right"/>
              <w:spacing w:after="0"/>
              <w:rPr>
                <w:sz w:val="20"/>
                <w:szCs w:val="20"/>
                <w:color w:val="auto"/>
              </w:rPr>
            </w:pPr>
            <w:r>
              <w:rPr>
                <w:rFonts w:ascii="Arial" w:cs="Arial" w:eastAsia="Arial" w:hAnsi="Arial"/>
                <w:sz w:val="18"/>
                <w:szCs w:val="18"/>
                <w:color w:val="auto"/>
              </w:rPr>
              <w:t>4,133,057</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4,197,063</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4,319,204</w:t>
            </w:r>
          </w:p>
        </w:tc>
        <w:tc>
          <w:tcPr>
            <w:tcW w:w="260" w:type="dxa"/>
            <w:vAlign w:val="bottom"/>
          </w:tcPr>
          <w:p>
            <w:pPr>
              <w:spacing w:after="0"/>
              <w:rPr>
                <w:sz w:val="18"/>
                <w:szCs w:val="18"/>
                <w:color w:val="auto"/>
              </w:rPr>
            </w:pPr>
          </w:p>
        </w:tc>
        <w:tc>
          <w:tcPr>
            <w:tcW w:w="1520" w:type="dxa"/>
            <w:vAlign w:val="bottom"/>
            <w:gridSpan w:val="2"/>
          </w:tcPr>
          <w:p>
            <w:pPr>
              <w:jc w:val="right"/>
              <w:ind w:right="50"/>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profit (loss)</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02"/>
        </w:trPr>
        <w:tc>
          <w:tcPr>
            <w:tcW w:w="3960" w:type="dxa"/>
            <w:vAlign w:val="bottom"/>
            <w:gridSpan w:val="2"/>
          </w:tcPr>
          <w:p>
            <w:pPr>
              <w:spacing w:after="0" w:line="201" w:lineRule="exact"/>
              <w:rPr>
                <w:sz w:val="20"/>
                <w:szCs w:val="20"/>
                <w:color w:val="auto"/>
              </w:rPr>
            </w:pPr>
            <w:r>
              <w:rPr>
                <w:rFonts w:ascii="Arial" w:cs="Arial" w:eastAsia="Arial" w:hAnsi="Arial"/>
                <w:sz w:val="18"/>
                <w:szCs w:val="18"/>
                <w:color w:val="auto"/>
              </w:rPr>
              <w:t>Investment in subsidiaries and others, net of</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3960" w:type="dxa"/>
            <w:vAlign w:val="bottom"/>
            <w:gridSpan w:val="2"/>
          </w:tcPr>
          <w:p>
            <w:pPr>
              <w:ind w:left="180"/>
              <w:spacing w:after="0"/>
              <w:rPr>
                <w:sz w:val="20"/>
                <w:szCs w:val="20"/>
                <w:color w:val="auto"/>
              </w:rPr>
            </w:pPr>
            <w:r>
              <w:rPr>
                <w:rFonts w:ascii="Arial" w:cs="Arial" w:eastAsia="Arial" w:hAnsi="Arial"/>
                <w:sz w:val="18"/>
                <w:szCs w:val="18"/>
                <w:color w:val="auto"/>
              </w:rPr>
              <w:t>unrealized profit and net income</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(1,323,808)</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(1,722,979)</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(1,722,979)</w:t>
            </w:r>
          </w:p>
        </w:tc>
        <w:tc>
          <w:tcPr>
            <w:tcW w:w="1520" w:type="dxa"/>
            <w:vAlign w:val="bottom"/>
            <w:gridSpan w:val="2"/>
          </w:tcPr>
          <w:p>
            <w:pPr>
              <w:jc w:val="right"/>
              <w:ind w:right="50"/>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30.2%</w:t>
            </w:r>
          </w:p>
        </w:tc>
      </w:tr>
      <w:tr>
        <w:trPr>
          <w:trHeight w:val="216"/>
        </w:trPr>
        <w:tc>
          <w:tcPr>
            <w:tcW w:w="3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Investment in subsidiaries and others</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(1,845,441)</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(1,903,858)</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(2,006,574)</w:t>
            </w:r>
          </w:p>
        </w:tc>
        <w:tc>
          <w:tcPr>
            <w:tcW w:w="15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5.4%</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3960" w:type="dxa"/>
            <w:vAlign w:val="bottom"/>
            <w:gridSpan w:val="2"/>
          </w:tcPr>
          <w:p>
            <w:pPr>
              <w:ind w:left="340"/>
              <w:spacing w:after="0"/>
              <w:rPr>
                <w:sz w:val="20"/>
                <w:szCs w:val="20"/>
                <w:color w:val="auto"/>
              </w:rPr>
            </w:pPr>
            <w:r>
              <w:rPr>
                <w:rFonts w:ascii="Arial" w:cs="Arial" w:eastAsia="Arial" w:hAnsi="Arial"/>
                <w:sz w:val="18"/>
                <w:szCs w:val="18"/>
                <w:color w:val="auto"/>
                <w:w w:val="95"/>
              </w:rPr>
              <w:t>Unrealized profit and net income in subsidiaries</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521,633</w:t>
            </w:r>
          </w:p>
        </w:tc>
        <w:tc>
          <w:tcPr>
            <w:tcW w:w="1240" w:type="dxa"/>
            <w:vAlign w:val="bottom"/>
          </w:tcPr>
          <w:p>
            <w:pPr>
              <w:jc w:val="right"/>
              <w:spacing w:after="0"/>
              <w:rPr>
                <w:sz w:val="20"/>
                <w:szCs w:val="20"/>
                <w:color w:val="auto"/>
              </w:rPr>
            </w:pPr>
            <w:r>
              <w:rPr>
                <w:rFonts w:ascii="Arial" w:cs="Arial" w:eastAsia="Arial" w:hAnsi="Arial"/>
                <w:sz w:val="18"/>
                <w:szCs w:val="18"/>
                <w:color w:val="auto"/>
              </w:rPr>
              <w:t>180,879</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283,595</w:t>
            </w:r>
          </w:p>
        </w:tc>
        <w:tc>
          <w:tcPr>
            <w:tcW w:w="260" w:type="dxa"/>
            <w:vAlign w:val="bottom"/>
          </w:tcPr>
          <w:p>
            <w:pPr>
              <w:spacing w:after="0"/>
              <w:rPr>
                <w:sz w:val="18"/>
                <w:szCs w:val="18"/>
                <w:color w:val="auto"/>
              </w:rPr>
            </w:pPr>
          </w:p>
        </w:tc>
        <w:tc>
          <w:tcPr>
            <w:tcW w:w="1520" w:type="dxa"/>
            <w:vAlign w:val="bottom"/>
            <w:gridSpan w:val="2"/>
          </w:tcPr>
          <w:p>
            <w:pPr>
              <w:jc w:val="right"/>
              <w:ind w:right="50"/>
              <w:spacing w:after="0"/>
              <w:rPr>
                <w:sz w:val="20"/>
                <w:szCs w:val="20"/>
                <w:color w:val="auto"/>
              </w:rPr>
            </w:pPr>
            <w:r>
              <w:rPr>
                <w:rFonts w:ascii="Arial" w:cs="Arial" w:eastAsia="Arial" w:hAnsi="Arial"/>
                <w:sz w:val="18"/>
                <w:szCs w:val="18"/>
                <w:color w:val="auto"/>
              </w:rPr>
              <w:t>56.8%</w:t>
            </w:r>
          </w:p>
        </w:tc>
        <w:tc>
          <w:tcPr>
            <w:tcW w:w="3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-45.6%</w:t>
            </w: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(122,083)</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(122,083)</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(122,083)</w:t>
            </w:r>
          </w:p>
        </w:tc>
        <w:tc>
          <w:tcPr>
            <w:tcW w:w="15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0.0%</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Total Regulatory Capital</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17,492,752</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19,137,835</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20,149,017</w:t>
            </w:r>
          </w:p>
        </w:tc>
        <w:tc>
          <w:tcPr>
            <w:tcW w:w="15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5.3%</w:t>
            </w:r>
          </w:p>
        </w:tc>
        <w:tc>
          <w:tcPr>
            <w:tcW w:w="3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15.2%</w:t>
            </w:r>
          </w:p>
        </w:tc>
      </w:tr>
      <w:tr>
        <w:trPr>
          <w:trHeight w:val="210"/>
        </w:trPr>
        <w:tc>
          <w:tcPr>
            <w:tcW w:w="39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Off-balance sheet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83,769,728</w:t>
            </w: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84,178,682</w:t>
            </w: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88,421,907</w:t>
            </w:r>
          </w:p>
        </w:tc>
        <w:tc>
          <w:tcPr>
            <w:tcW w:w="2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r>
      <w:tr>
        <w:trPr>
          <w:trHeight w:val="237"/>
        </w:trPr>
        <w:tc>
          <w:tcPr>
            <w:tcW w:w="3960" w:type="dxa"/>
            <w:vAlign w:val="bottom"/>
            <w:gridSpan w:val="2"/>
          </w:tcPr>
          <w:p>
            <w:pPr>
              <w:spacing w:after="0" w:line="236" w:lineRule="exact"/>
              <w:rPr>
                <w:sz w:val="20"/>
                <w:szCs w:val="20"/>
                <w:color w:val="auto"/>
              </w:rPr>
            </w:pPr>
            <w:r>
              <w:rPr>
                <w:rFonts w:ascii="Arial" w:cs="Arial" w:eastAsia="Arial" w:hAnsi="Arial"/>
                <w:sz w:val="17"/>
                <w:szCs w:val="17"/>
                <w:color w:val="auto"/>
              </w:rPr>
              <w:t xml:space="preserve">Tier 1 </w:t>
            </w:r>
            <w:r>
              <w:rPr>
                <w:rFonts w:ascii="Arial" w:cs="Arial" w:eastAsia="Arial" w:hAnsi="Arial"/>
                <w:sz w:val="27"/>
                <w:szCs w:val="27"/>
                <w:color w:val="auto"/>
                <w:vertAlign w:val="superscript"/>
              </w:rPr>
              <w:t>(2)</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12,830,686</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14,504,157</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15,370,957</w:t>
            </w:r>
          </w:p>
        </w:tc>
        <w:tc>
          <w:tcPr>
            <w:tcW w:w="1520" w:type="dxa"/>
            <w:vAlign w:val="bottom"/>
            <w:gridSpan w:val="2"/>
          </w:tcPr>
          <w:p>
            <w:pPr>
              <w:jc w:val="right"/>
              <w:ind w:right="50"/>
              <w:spacing w:after="0"/>
              <w:rPr>
                <w:sz w:val="20"/>
                <w:szCs w:val="20"/>
                <w:color w:val="auto"/>
              </w:rPr>
            </w:pPr>
            <w:r>
              <w:rPr>
                <w:rFonts w:ascii="Arial" w:cs="Arial" w:eastAsia="Arial" w:hAnsi="Arial"/>
                <w:sz w:val="18"/>
                <w:szCs w:val="18"/>
                <w:color w:val="auto"/>
              </w:rPr>
              <w:t>6.0%</w:t>
            </w:r>
          </w:p>
        </w:tc>
        <w:tc>
          <w:tcPr>
            <w:tcW w:w="3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19.8%</w:t>
            </w:r>
          </w:p>
        </w:tc>
      </w:tr>
      <w:tr>
        <w:trPr>
          <w:trHeight w:val="257"/>
        </w:trPr>
        <w:tc>
          <w:tcPr>
            <w:tcW w:w="39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Tier 2 </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 Tier 3 </w:t>
            </w:r>
            <w:r>
              <w:rPr>
                <w:rFonts w:ascii="Arial" w:cs="Arial" w:eastAsia="Arial" w:hAnsi="Arial"/>
                <w:sz w:val="29"/>
                <w:szCs w:val="29"/>
                <w:color w:val="auto"/>
                <w:vertAlign w:val="superscript"/>
              </w:rPr>
              <w:t>(4)</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4,662,065</w:t>
            </w: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4,633,677</w:t>
            </w: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4,778,060</w:t>
            </w:r>
          </w:p>
        </w:tc>
        <w:tc>
          <w:tcPr>
            <w:tcW w:w="26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3.1%</w:t>
            </w:r>
          </w:p>
        </w:tc>
        <w:tc>
          <w:tcPr>
            <w:tcW w:w="3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Common Equity Tier 1</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13,487,881</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14,682,446</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15,048,138</w:t>
            </w:r>
          </w:p>
        </w:tc>
        <w:tc>
          <w:tcPr>
            <w:tcW w:w="1520" w:type="dxa"/>
            <w:vAlign w:val="bottom"/>
            <w:gridSpan w:val="2"/>
          </w:tcPr>
          <w:p>
            <w:pPr>
              <w:jc w:val="right"/>
              <w:ind w:right="50"/>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11.6%</w:t>
            </w:r>
          </w:p>
        </w:tc>
      </w:tr>
      <w:tr>
        <w:trPr>
          <w:trHeight w:val="210"/>
        </w:trPr>
        <w:tc>
          <w:tcPr>
            <w:tcW w:w="39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risk-weighted assets - SBS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117,083,174</w:t>
            </w: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128,023,739</w:t>
            </w: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130,413,864</w:t>
            </w:r>
          </w:p>
        </w:tc>
        <w:tc>
          <w:tcPr>
            <w:tcW w:w="2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c>
          <w:tcPr>
            <w:tcW w:w="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r>
      <w:tr>
        <w:trPr>
          <w:trHeight w:val="237"/>
        </w:trPr>
        <w:tc>
          <w:tcPr>
            <w:tcW w:w="3960" w:type="dxa"/>
            <w:vAlign w:val="bottom"/>
            <w:gridSpan w:val="2"/>
          </w:tcPr>
          <w:p>
            <w:pPr>
              <w:spacing w:after="0" w:line="236" w:lineRule="exact"/>
              <w:rPr>
                <w:sz w:val="20"/>
                <w:szCs w:val="20"/>
                <w:color w:val="auto"/>
              </w:rPr>
            </w:pPr>
            <w:r>
              <w:rPr>
                <w:rFonts w:ascii="Arial" w:cs="Arial" w:eastAsia="Arial" w:hAnsi="Arial"/>
                <w:sz w:val="17"/>
                <w:szCs w:val="17"/>
                <w:color w:val="auto"/>
              </w:rPr>
              <w:t xml:space="preserve">Market risk-weighted assets </w:t>
            </w:r>
            <w:r>
              <w:rPr>
                <w:rFonts w:ascii="Arial" w:cs="Arial" w:eastAsia="Arial" w:hAnsi="Arial"/>
                <w:sz w:val="27"/>
                <w:szCs w:val="27"/>
                <w:color w:val="auto"/>
                <w:vertAlign w:val="superscript"/>
              </w:rPr>
              <w:t>(5)</w:t>
            </w:r>
          </w:p>
        </w:tc>
        <w:tc>
          <w:tcPr>
            <w:tcW w:w="1240" w:type="dxa"/>
            <w:vAlign w:val="bottom"/>
          </w:tcPr>
          <w:p>
            <w:pPr>
              <w:jc w:val="right"/>
              <w:spacing w:after="0"/>
              <w:rPr>
                <w:sz w:val="20"/>
                <w:szCs w:val="20"/>
                <w:color w:val="auto"/>
              </w:rPr>
            </w:pPr>
            <w:r>
              <w:rPr>
                <w:rFonts w:ascii="Arial" w:cs="Arial" w:eastAsia="Arial" w:hAnsi="Arial"/>
                <w:sz w:val="18"/>
                <w:szCs w:val="18"/>
                <w:color w:val="auto"/>
              </w:rPr>
              <w:t>1,256,762</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2,701,436</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2,143,263</w:t>
            </w:r>
          </w:p>
        </w:tc>
        <w:tc>
          <w:tcPr>
            <w:tcW w:w="260" w:type="dxa"/>
            <w:vAlign w:val="bottom"/>
          </w:tcPr>
          <w:p>
            <w:pPr>
              <w:spacing w:after="0"/>
              <w:rPr>
                <w:sz w:val="20"/>
                <w:szCs w:val="20"/>
                <w:color w:val="auto"/>
              </w:rPr>
            </w:pPr>
          </w:p>
        </w:tc>
        <w:tc>
          <w:tcPr>
            <w:tcW w:w="1520" w:type="dxa"/>
            <w:vAlign w:val="bottom"/>
            <w:gridSpan w:val="2"/>
          </w:tcPr>
          <w:p>
            <w:pPr>
              <w:jc w:val="right"/>
              <w:ind w:right="50"/>
              <w:spacing w:after="0"/>
              <w:rPr>
                <w:sz w:val="20"/>
                <w:szCs w:val="20"/>
                <w:color w:val="auto"/>
              </w:rPr>
            </w:pPr>
            <w:r>
              <w:rPr>
                <w:rFonts w:ascii="Arial" w:cs="Arial" w:eastAsia="Arial" w:hAnsi="Arial"/>
                <w:sz w:val="18"/>
                <w:szCs w:val="18"/>
                <w:color w:val="auto"/>
              </w:rPr>
              <w:t>-20.7%</w:t>
            </w:r>
          </w:p>
        </w:tc>
        <w:tc>
          <w:tcPr>
            <w:tcW w:w="3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70.5%</w:t>
            </w: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risk-weighted assets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106,878,174</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115,994,876</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118,791,053</w:t>
            </w:r>
          </w:p>
        </w:tc>
        <w:tc>
          <w:tcPr>
            <w:tcW w:w="15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2.4%</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Operational risk-weighted assets</w:t>
            </w:r>
          </w:p>
        </w:tc>
        <w:tc>
          <w:tcPr>
            <w:tcW w:w="1240" w:type="dxa"/>
            <w:vAlign w:val="bottom"/>
          </w:tcPr>
          <w:p>
            <w:pPr>
              <w:jc w:val="right"/>
              <w:spacing w:after="0"/>
              <w:rPr>
                <w:sz w:val="20"/>
                <w:szCs w:val="20"/>
                <w:color w:val="auto"/>
              </w:rPr>
            </w:pPr>
            <w:r>
              <w:rPr>
                <w:rFonts w:ascii="Arial" w:cs="Arial" w:eastAsia="Arial" w:hAnsi="Arial"/>
                <w:sz w:val="18"/>
                <w:szCs w:val="18"/>
                <w:color w:val="auto"/>
              </w:rPr>
              <w:t>8,948,239</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9,327,427</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9,479,548</w:t>
            </w:r>
          </w:p>
        </w:tc>
        <w:tc>
          <w:tcPr>
            <w:tcW w:w="260" w:type="dxa"/>
            <w:vAlign w:val="bottom"/>
          </w:tcPr>
          <w:p>
            <w:pPr>
              <w:spacing w:after="0"/>
              <w:rPr>
                <w:sz w:val="19"/>
                <w:szCs w:val="19"/>
                <w:color w:val="auto"/>
              </w:rPr>
            </w:pPr>
          </w:p>
        </w:tc>
        <w:tc>
          <w:tcPr>
            <w:tcW w:w="1520" w:type="dxa"/>
            <w:vAlign w:val="bottom"/>
            <w:gridSpan w:val="2"/>
          </w:tcPr>
          <w:p>
            <w:pPr>
              <w:jc w:val="right"/>
              <w:ind w:right="50"/>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5.9%</w:t>
            </w:r>
          </w:p>
        </w:tc>
      </w:tr>
      <w:tr>
        <w:trPr>
          <w:trHeight w:val="210"/>
        </w:trPr>
        <w:tc>
          <w:tcPr>
            <w:tcW w:w="39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Adjusted Risk-Weighted Assets </w:t>
            </w:r>
            <w:r>
              <w:rPr>
                <w:rFonts w:ascii="Arial" w:cs="Arial" w:eastAsia="Arial" w:hAnsi="Arial"/>
                <w:sz w:val="18"/>
                <w:szCs w:val="18"/>
                <w:color w:val="auto"/>
              </w:rPr>
              <w:t>- Basel</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116,212,161</w:t>
            </w: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124,260,803</w:t>
            </w: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125,960,200</w:t>
            </w:r>
          </w:p>
        </w:tc>
        <w:tc>
          <w:tcPr>
            <w:tcW w:w="2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w:t>
            </w:r>
          </w:p>
        </w:tc>
        <w:tc>
          <w:tcPr>
            <w:tcW w:w="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r>
      <w:tr>
        <w:trPr>
          <w:trHeight w:val="210"/>
        </w:trPr>
        <w:tc>
          <w:tcPr>
            <w:tcW w:w="3960" w:type="dxa"/>
            <w:vAlign w:val="bottom"/>
            <w:gridSpan w:val="2"/>
          </w:tcPr>
          <w:p>
            <w:pPr>
              <w:spacing w:after="0"/>
              <w:rPr>
                <w:sz w:val="20"/>
                <w:szCs w:val="20"/>
                <w:color w:val="auto"/>
              </w:rPr>
            </w:pPr>
            <w:r>
              <w:rPr>
                <w:rFonts w:ascii="Arial" w:cs="Arial" w:eastAsia="Arial" w:hAnsi="Arial"/>
                <w:sz w:val="18"/>
                <w:szCs w:val="18"/>
                <w:color w:val="auto"/>
              </w:rPr>
              <w:t>Total risk-weighted assets</w:t>
            </w:r>
          </w:p>
        </w:tc>
        <w:tc>
          <w:tcPr>
            <w:tcW w:w="1240" w:type="dxa"/>
            <w:vAlign w:val="bottom"/>
          </w:tcPr>
          <w:p>
            <w:pPr>
              <w:jc w:val="right"/>
              <w:spacing w:after="0"/>
              <w:rPr>
                <w:sz w:val="20"/>
                <w:szCs w:val="20"/>
                <w:color w:val="auto"/>
              </w:rPr>
            </w:pPr>
            <w:r>
              <w:rPr>
                <w:rFonts w:ascii="Arial" w:cs="Arial" w:eastAsia="Arial" w:hAnsi="Arial"/>
                <w:sz w:val="18"/>
                <w:szCs w:val="18"/>
                <w:color w:val="auto"/>
              </w:rPr>
              <w:t>117,083,174</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128,023,739</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130,413,864</w:t>
            </w:r>
          </w:p>
        </w:tc>
        <w:tc>
          <w:tcPr>
            <w:tcW w:w="260" w:type="dxa"/>
            <w:vAlign w:val="bottom"/>
          </w:tcPr>
          <w:p>
            <w:pPr>
              <w:spacing w:after="0"/>
              <w:rPr>
                <w:sz w:val="18"/>
                <w:szCs w:val="18"/>
                <w:color w:val="auto"/>
              </w:rPr>
            </w:pPr>
          </w:p>
        </w:tc>
        <w:tc>
          <w:tcPr>
            <w:tcW w:w="1520" w:type="dxa"/>
            <w:vAlign w:val="bottom"/>
            <w:gridSpan w:val="2"/>
          </w:tcPr>
          <w:p>
            <w:pPr>
              <w:jc w:val="right"/>
              <w:ind w:right="50"/>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3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RWA Intangible assets, excluding goodwill.</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1,426,100</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4,168,753</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4,846,465</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16.3%</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239.8%</w:t>
            </w:r>
          </w:p>
        </w:tc>
      </w:tr>
      <w:tr>
        <w:trPr>
          <w:trHeight w:val="202"/>
        </w:trPr>
        <w:tc>
          <w:tcPr>
            <w:tcW w:w="396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2"/>
              </w:rPr>
              <w:t>(+) RWA Deferred tax assets generated as a result</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3960" w:type="dxa"/>
            <w:vAlign w:val="bottom"/>
            <w:gridSpan w:val="2"/>
          </w:tcPr>
          <w:p>
            <w:pPr>
              <w:ind w:left="340"/>
              <w:spacing w:after="0"/>
              <w:rPr>
                <w:sz w:val="20"/>
                <w:szCs w:val="20"/>
                <w:color w:val="auto"/>
              </w:rPr>
            </w:pPr>
            <w:r>
              <w:rPr>
                <w:rFonts w:ascii="Arial" w:cs="Arial" w:eastAsia="Arial" w:hAnsi="Arial"/>
                <w:sz w:val="18"/>
                <w:szCs w:val="18"/>
                <w:color w:val="auto"/>
              </w:rPr>
              <w:t>of temporary differences in income tax, in</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3960" w:type="dxa"/>
            <w:vAlign w:val="bottom"/>
            <w:gridSpan w:val="2"/>
          </w:tcPr>
          <w:p>
            <w:pPr>
              <w:ind w:left="340"/>
              <w:spacing w:after="0"/>
              <w:rPr>
                <w:sz w:val="20"/>
                <w:szCs w:val="20"/>
                <w:color w:val="auto"/>
              </w:rPr>
            </w:pPr>
            <w:r>
              <w:rPr>
                <w:rFonts w:ascii="Arial" w:cs="Arial" w:eastAsia="Arial" w:hAnsi="Arial"/>
                <w:sz w:val="18"/>
                <w:szCs w:val="18"/>
                <w:color w:val="auto"/>
              </w:rPr>
              <w:t>excess of 10% of CET1</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555,087</w:t>
            </w:r>
          </w:p>
        </w:tc>
        <w:tc>
          <w:tcPr>
            <w:tcW w:w="1240" w:type="dxa"/>
            <w:vAlign w:val="bottom"/>
          </w:tcPr>
          <w:p>
            <w:pPr>
              <w:jc w:val="right"/>
              <w:spacing w:after="0"/>
              <w:rPr>
                <w:sz w:val="20"/>
                <w:szCs w:val="20"/>
                <w:color w:val="auto"/>
              </w:rPr>
            </w:pPr>
            <w:r>
              <w:rPr>
                <w:rFonts w:ascii="Arial" w:cs="Arial" w:eastAsia="Arial" w:hAnsi="Arial"/>
                <w:sz w:val="18"/>
                <w:szCs w:val="18"/>
                <w:color w:val="auto"/>
              </w:rPr>
              <w:t>405,816</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392,802</w:t>
            </w:r>
          </w:p>
        </w:tc>
        <w:tc>
          <w:tcPr>
            <w:tcW w:w="260" w:type="dxa"/>
            <w:vAlign w:val="bottom"/>
          </w:tcPr>
          <w:p>
            <w:pPr>
              <w:spacing w:after="0"/>
              <w:rPr>
                <w:sz w:val="20"/>
                <w:szCs w:val="20"/>
                <w:color w:val="auto"/>
              </w:rPr>
            </w:pPr>
          </w:p>
        </w:tc>
        <w:tc>
          <w:tcPr>
            <w:tcW w:w="1520" w:type="dxa"/>
            <w:vAlign w:val="bottom"/>
            <w:gridSpan w:val="2"/>
          </w:tcPr>
          <w:p>
            <w:pPr>
              <w:jc w:val="right"/>
              <w:ind w:right="50"/>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0"/>
                <w:szCs w:val="20"/>
                <w:color w:val="auto"/>
              </w:rPr>
            </w:pP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r>
      <w:tr>
        <w:trPr>
          <w:trHeight w:val="202"/>
        </w:trPr>
        <w:tc>
          <w:tcPr>
            <w:tcW w:w="39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 RWA Deferred tax assets generated as a result</w:t>
            </w: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44"/>
        </w:trPr>
        <w:tc>
          <w:tcPr>
            <w:tcW w:w="3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of past losses</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10"/>
        </w:trPr>
        <w:tc>
          <w:tcPr>
            <w:tcW w:w="39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capital requirement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15,012,149</w:t>
            </w:r>
          </w:p>
        </w:tc>
        <w:tc>
          <w:tcPr>
            <w:tcW w:w="26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16,265,477</w:t>
            </w:r>
          </w:p>
        </w:tc>
        <w:tc>
          <w:tcPr>
            <w:tcW w:w="28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16,547,822</w:t>
            </w:r>
          </w:p>
        </w:tc>
        <w:tc>
          <w:tcPr>
            <w:tcW w:w="26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w:t>
            </w:r>
          </w:p>
        </w:tc>
        <w:tc>
          <w:tcPr>
            <w:tcW w:w="1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w w:val="99"/>
              </w:rPr>
              <w:t>%</w:t>
            </w:r>
          </w:p>
        </w:tc>
      </w:tr>
      <w:tr>
        <w:trPr>
          <w:trHeight w:val="237"/>
        </w:trPr>
        <w:tc>
          <w:tcPr>
            <w:tcW w:w="3960" w:type="dxa"/>
            <w:vAlign w:val="bottom"/>
            <w:gridSpan w:val="2"/>
            <w:shd w:val="clear" w:color="auto" w:fill="CCEEFF"/>
          </w:tcPr>
          <w:p>
            <w:pPr>
              <w:spacing w:after="0" w:line="236" w:lineRule="exact"/>
              <w:rPr>
                <w:sz w:val="20"/>
                <w:szCs w:val="20"/>
                <w:color w:val="auto"/>
              </w:rPr>
            </w:pPr>
            <w:r>
              <w:rPr>
                <w:rFonts w:ascii="Arial" w:cs="Arial" w:eastAsia="Arial" w:hAnsi="Arial"/>
                <w:sz w:val="17"/>
                <w:szCs w:val="17"/>
                <w:color w:val="auto"/>
              </w:rPr>
              <w:t xml:space="preserve">Market risk capital requirement </w:t>
            </w:r>
            <w:r>
              <w:rPr>
                <w:rFonts w:ascii="Arial" w:cs="Arial" w:eastAsia="Arial" w:hAnsi="Arial"/>
                <w:sz w:val="27"/>
                <w:szCs w:val="27"/>
                <w:color w:val="auto"/>
                <w:vertAlign w:val="superscript"/>
              </w:rPr>
              <w:t>(5)</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125,676</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270,144</w:t>
            </w: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214,326</w:t>
            </w:r>
          </w:p>
        </w:tc>
        <w:tc>
          <w:tcPr>
            <w:tcW w:w="26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-20.7%</w:t>
            </w:r>
          </w:p>
        </w:tc>
        <w:tc>
          <w:tcPr>
            <w:tcW w:w="3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70.5%</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Credit risk capital requirement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10,687,817</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11,599,488</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11,879,105</w:t>
            </w:r>
          </w:p>
        </w:tc>
        <w:tc>
          <w:tcPr>
            <w:tcW w:w="1520" w:type="dxa"/>
            <w:vAlign w:val="bottom"/>
            <w:gridSpan w:val="2"/>
          </w:tcPr>
          <w:p>
            <w:pPr>
              <w:jc w:val="right"/>
              <w:ind w:right="50"/>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Operational risk capital requirement</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894,824</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932,743</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947,955</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Additional capital requirements</w:t>
            </w:r>
          </w:p>
        </w:tc>
        <w:tc>
          <w:tcPr>
            <w:tcW w:w="1240" w:type="dxa"/>
            <w:vAlign w:val="bottom"/>
          </w:tcPr>
          <w:p>
            <w:pPr>
              <w:jc w:val="right"/>
              <w:spacing w:after="0"/>
              <w:rPr>
                <w:sz w:val="20"/>
                <w:szCs w:val="20"/>
                <w:color w:val="auto"/>
              </w:rPr>
            </w:pPr>
            <w:r>
              <w:rPr>
                <w:rFonts w:ascii="Arial" w:cs="Arial" w:eastAsia="Arial" w:hAnsi="Arial"/>
                <w:sz w:val="18"/>
                <w:szCs w:val="18"/>
                <w:color w:val="auto"/>
              </w:rPr>
              <w:t>3,303,831</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3,463,103</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3,506,435</w:t>
            </w:r>
          </w:p>
        </w:tc>
        <w:tc>
          <w:tcPr>
            <w:tcW w:w="260" w:type="dxa"/>
            <w:vAlign w:val="bottom"/>
          </w:tcPr>
          <w:p>
            <w:pPr>
              <w:spacing w:after="0"/>
              <w:rPr>
                <w:sz w:val="18"/>
                <w:szCs w:val="18"/>
                <w:color w:val="auto"/>
              </w:rPr>
            </w:pPr>
          </w:p>
        </w:tc>
        <w:tc>
          <w:tcPr>
            <w:tcW w:w="1520" w:type="dxa"/>
            <w:vAlign w:val="bottom"/>
            <w:gridSpan w:val="2"/>
          </w:tcPr>
          <w:p>
            <w:pPr>
              <w:jc w:val="right"/>
              <w:ind w:right="5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Capital ratios</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57"/>
        </w:trPr>
        <w:tc>
          <w:tcPr>
            <w:tcW w:w="396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Tier 1 ratio </w:t>
            </w:r>
            <w:r>
              <w:rPr>
                <w:rFonts w:ascii="Arial" w:cs="Arial" w:eastAsia="Arial" w:hAnsi="Arial"/>
                <w:sz w:val="29"/>
                <w:szCs w:val="29"/>
                <w:color w:val="auto"/>
                <w:vertAlign w:val="superscript"/>
              </w:rPr>
              <w:t>(6)</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10.96%</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11.33%</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11.79%</w:t>
            </w:r>
          </w:p>
        </w:tc>
        <w:tc>
          <w:tcPr>
            <w:tcW w:w="1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57"/>
        </w:trPr>
        <w:tc>
          <w:tcPr>
            <w:tcW w:w="39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Common Equity Tier 1 ratio </w:t>
            </w:r>
            <w:r>
              <w:rPr>
                <w:rFonts w:ascii="Arial" w:cs="Arial" w:eastAsia="Arial" w:hAnsi="Arial"/>
                <w:sz w:val="29"/>
                <w:szCs w:val="29"/>
                <w:color w:val="auto"/>
                <w:vertAlign w:val="superscript"/>
              </w:rPr>
              <w:t>(7)</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11.61%</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11.82%</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11.95%</w:t>
            </w:r>
          </w:p>
        </w:tc>
        <w:tc>
          <w:tcPr>
            <w:tcW w:w="12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r>
      <w:tr>
        <w:trPr>
          <w:trHeight w:val="257"/>
        </w:trPr>
        <w:tc>
          <w:tcPr>
            <w:tcW w:w="396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BIS ratio </w:t>
            </w:r>
            <w:r>
              <w:rPr>
                <w:rFonts w:ascii="Arial" w:cs="Arial" w:eastAsia="Arial" w:hAnsi="Arial"/>
                <w:sz w:val="29"/>
                <w:szCs w:val="29"/>
                <w:color w:val="auto"/>
                <w:vertAlign w:val="superscript"/>
              </w:rPr>
              <w:t>(8)</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14.94%</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14.95%</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15.45%</w:t>
            </w:r>
          </w:p>
        </w:tc>
        <w:tc>
          <w:tcPr>
            <w:tcW w:w="1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57"/>
        </w:trPr>
        <w:tc>
          <w:tcPr>
            <w:tcW w:w="39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Risk-weighted assets / Regulatory capital </w:t>
            </w:r>
            <w:r>
              <w:rPr>
                <w:rFonts w:ascii="Arial" w:cs="Arial" w:eastAsia="Arial" w:hAnsi="Arial"/>
                <w:sz w:val="29"/>
                <w:szCs w:val="29"/>
                <w:color w:val="auto"/>
                <w:vertAlign w:val="superscript"/>
              </w:rPr>
              <w:t>(9)</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6.69</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6.69</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6.47</w:t>
            </w:r>
          </w:p>
        </w:tc>
        <w:tc>
          <w:tcPr>
            <w:tcW w:w="12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r>
    </w:tbl>
    <w:p>
      <w:pPr>
        <w:spacing w:after="0" w:line="202" w:lineRule="exact"/>
        <w:rPr>
          <w:sz w:val="20"/>
          <w:szCs w:val="20"/>
          <w:color w:val="auto"/>
        </w:rPr>
      </w:pPr>
    </w:p>
    <w:p>
      <w:pPr>
        <w:ind w:left="260" w:hanging="252"/>
        <w:spacing w:after="0"/>
        <w:tabs>
          <w:tab w:leader="none" w:pos="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Up to 1.25% of total risk-weighted assets.</w:t>
      </w:r>
    </w:p>
    <w:p>
      <w:pPr>
        <w:spacing w:after="0" w:line="23" w:lineRule="exact"/>
        <w:rPr>
          <w:rFonts w:ascii="Arial" w:cs="Arial" w:eastAsia="Arial" w:hAnsi="Arial"/>
          <w:sz w:val="18"/>
          <w:szCs w:val="18"/>
          <w:color w:val="auto"/>
        </w:rPr>
      </w:pPr>
    </w:p>
    <w:p>
      <w:pPr>
        <w:jc w:val="both"/>
        <w:ind w:right="20" w:firstLine="8"/>
        <w:spacing w:after="0" w:line="265" w:lineRule="auto"/>
        <w:tabs>
          <w:tab w:leader="none" w:pos="268" w:val="left"/>
        </w:tabs>
        <w:numPr>
          <w:ilvl w:val="0"/>
          <w:numId w:val="77"/>
        </w:numPr>
        <w:rPr>
          <w:rFonts w:ascii="Arial" w:cs="Arial" w:eastAsia="Arial" w:hAnsi="Arial"/>
          <w:sz w:val="17"/>
          <w:szCs w:val="17"/>
          <w:color w:val="auto"/>
        </w:rPr>
      </w:pPr>
      <w:r>
        <w:rPr>
          <w:rFonts w:ascii="Arial" w:cs="Arial" w:eastAsia="Arial" w:hAnsi="Arial"/>
          <w:sz w:val="17"/>
          <w:szCs w:val="17"/>
          <w:color w:val="auto"/>
        </w:rPr>
        <w:t>Tier 1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left="260" w:hanging="252"/>
        <w:spacing w:after="0"/>
        <w:tabs>
          <w:tab w:leader="none" w:pos="2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Tier 2 = Subordinated debt + Loan loss reserves + (0.5 x Unrealized profit and net income in subsidiaries) - (0.5 x Investment in subsidiaries).</w:t>
      </w:r>
    </w:p>
    <w:p>
      <w:pPr>
        <w:spacing w:after="0" w:line="20" w:lineRule="exact"/>
        <w:rPr>
          <w:rFonts w:ascii="Arial" w:cs="Arial" w:eastAsia="Arial" w:hAnsi="Arial"/>
          <w:sz w:val="17"/>
          <w:szCs w:val="17"/>
          <w:color w:val="auto"/>
        </w:rPr>
      </w:pPr>
    </w:p>
    <w:p>
      <w:pPr>
        <w:ind w:left="260" w:hanging="252"/>
        <w:spacing w:after="0"/>
        <w:tabs>
          <w:tab w:leader="none" w:pos="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Tier 3 = Subordinated debt covering market risk only. Tier 3 exists since 1Q10.</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It includes capital requirement to cover price and rate risk.</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Tier 1 / Total Risk-weighted assets</w:t>
      </w:r>
    </w:p>
    <w:p>
      <w:pPr>
        <w:spacing w:after="0" w:line="9" w:lineRule="exact"/>
        <w:rPr>
          <w:rFonts w:ascii="Arial" w:cs="Arial" w:eastAsia="Arial" w:hAnsi="Arial"/>
          <w:sz w:val="18"/>
          <w:szCs w:val="18"/>
          <w:color w:val="auto"/>
        </w:rPr>
      </w:pPr>
    </w:p>
    <w:p>
      <w:pPr>
        <w:ind w:firstLine="8"/>
        <w:spacing w:after="0" w:line="250" w:lineRule="auto"/>
        <w:tabs>
          <w:tab w:leader="none" w:pos="2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Common Equity Tier I = Capital + Reserves – 100% of applicable deductions (investment in subsidiaries, goodwill, intangibles and net deferred taxes that rely on future profitability) + retained earnings + unrealized gains.</w:t>
      </w:r>
    </w:p>
    <w:p>
      <w:pPr>
        <w:ind w:right="20"/>
        <w:spacing w:after="0" w:line="265" w:lineRule="auto"/>
        <w:rPr>
          <w:rFonts w:ascii="Arial" w:cs="Arial" w:eastAsia="Arial" w:hAnsi="Arial"/>
          <w:sz w:val="18"/>
          <w:szCs w:val="18"/>
          <w:color w:val="auto"/>
        </w:rPr>
      </w:pPr>
      <w:r>
        <w:rPr>
          <w:rFonts w:ascii="Arial" w:cs="Arial" w:eastAsia="Arial" w:hAnsi="Arial"/>
          <w:sz w:val="17"/>
          <w:szCs w:val="17"/>
          <w:color w:val="auto"/>
        </w:rPr>
        <w:t>Adjusted Risk-Weighted Assets = Risk-weighted assets - (RWA Intangible assets, excluding goodwill, + RWA Deferred tax assets generated as a result of temporary differences in income tax, in excess of 10% of CET1, + RWA Deferred tax assets generated as a result of past losses)."</w:t>
      </w:r>
    </w:p>
    <w:p>
      <w:pPr>
        <w:ind w:left="260" w:hanging="252"/>
        <w:spacing w:after="0"/>
        <w:tabs>
          <w:tab w:leader="none" w:pos="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Regulatory Capital / Risk-weighted assets (legal minimum = 10% since July 2011)</w:t>
      </w:r>
    </w:p>
    <w:p>
      <w:pPr>
        <w:spacing w:after="0" w:line="9" w:lineRule="exact"/>
        <w:rPr>
          <w:rFonts w:ascii="Arial" w:cs="Arial" w:eastAsia="Arial" w:hAnsi="Arial"/>
          <w:sz w:val="18"/>
          <w:szCs w:val="18"/>
          <w:color w:val="auto"/>
        </w:rPr>
      </w:pPr>
    </w:p>
    <w:p>
      <w:pPr>
        <w:ind w:firstLine="8"/>
        <w:spacing w:after="0" w:line="261" w:lineRule="auto"/>
        <w:tabs>
          <w:tab w:leader="none" w:pos="256" w:val="left"/>
        </w:tabs>
        <w:numPr>
          <w:ilvl w:val="0"/>
          <w:numId w:val="77"/>
        </w:numPr>
        <w:rPr>
          <w:rFonts w:ascii="Arial" w:cs="Arial" w:eastAsia="Arial" w:hAnsi="Arial"/>
          <w:sz w:val="18"/>
          <w:szCs w:val="18"/>
          <w:color w:val="auto"/>
        </w:rPr>
      </w:pPr>
      <w:r>
        <w:rPr>
          <w:rFonts w:ascii="Arial" w:cs="Arial" w:eastAsia="Arial" w:hAnsi="Arial"/>
          <w:sz w:val="18"/>
          <w:szCs w:val="18"/>
          <w:color w:val="auto"/>
        </w:rPr>
        <w:t>Since July 2012, Risk-weighted assets = Credit risk-weighted assets * 1.00 + Capital requirement to cover market risk * 10 + Capital requirement to cover operational risk * 10 * 1.00 (since July 2014).</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6" w:name="page47"/>
    <w:bookmarkEnd w:id="46"/>
    <w:p>
      <w:pPr>
        <w:jc w:val="both"/>
        <w:spacing w:after="0" w:line="277" w:lineRule="auto"/>
        <w:rPr>
          <w:sz w:val="20"/>
          <w:szCs w:val="20"/>
          <w:color w:val="auto"/>
        </w:rPr>
      </w:pPr>
      <w:r>
        <w:rPr>
          <w:rFonts w:ascii="Arial" w:cs="Arial" w:eastAsia="Arial" w:hAnsi="Arial"/>
          <w:sz w:val="18"/>
          <w:szCs w:val="18"/>
          <w:color w:val="auto"/>
        </w:rPr>
        <w:t>At the end of 3Q19, the BIS and Tier 1 Ratios at BCP Stand-alone increased QoQ to situate at 15.45% and 11.79% respectively. This was due to a +5.3% increase in total regulatory capital in a context in which total RWAs grew 1.9%.</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Total regulatory capital fell QoQ due to an increase in subordinated debt corresponding to issuances made in the third quarter of the year. Total RWAs increased due to growth in Credit RWAs, which was primarily attributable to the effect of a 2.6% expansion QoQ in quarter-end loan balances.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YoY evolution, the BIS and Tier1 ratios registered an increase with regard to the levels posted in 3Q18. This result was generated in a context in which total regulatory capital and Tier 1 outpaced the expansion reported for Credit RWAs.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YoY evolution of total RWAs, Credit RWAs posted the highest growth, followed by growth in Market and Operational RWAs. The increase in Credit RWAs is attributable to a YoY expansion of 7.0% in quarter-end balances and to the incorporation of unutilized lines of credit in the calculation of RWAs as of 2019 (according to requirements set forth by the Peruvian regulating entity).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Equity Tier 1 Ratio – BCP Stand-alone</w:t>
      </w:r>
    </w:p>
    <w:p>
      <w:pPr>
        <w:spacing w:after="0" w:line="185"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 xml:space="preserve">June 2019                         </w:t>
      </w:r>
      <w:r>
        <w:rPr>
          <w:sz w:val="1"/>
          <w:szCs w:val="1"/>
          <w:color w:val="auto"/>
        </w:rPr>
        <w:drawing>
          <wp:inline distT="0" distB="0" distL="0" distR="0">
            <wp:extent cx="34290" cy="16256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162560"/>
                    </a:xfrm>
                    <a:prstGeom prst="rect">
                      <a:avLst/>
                    </a:prstGeom>
                    <a:noFill/>
                    <a:ln>
                      <a:noFill/>
                    </a:ln>
                  </pic:spPr>
                </pic:pic>
              </a:graphicData>
            </a:graphic>
          </wp:inline>
        </w:drawing>
      </w:r>
      <w:r>
        <w:rPr>
          <w:rFonts w:ascii="Arial" w:cs="Arial" w:eastAsia="Arial" w:hAnsi="Arial"/>
          <w:sz w:val="18"/>
          <w:szCs w:val="18"/>
          <w:b w:val="1"/>
          <w:bCs w:val="1"/>
          <w:color w:val="auto"/>
        </w:rPr>
        <w:t xml:space="preserve">                       September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-24765</wp:posOffset>
            </wp:positionV>
            <wp:extent cx="6551930" cy="14319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551930"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(1) Includes investments in BCP Bolivia and other subsidiaries.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Finally, the Tier 1 Common Equity Ratio (CET1), which is considered the most rigorous ratio with which to measure capitalization levels, reported growth of +13 bps QoQ to situate at 11.95% at the end of 3Q19. This result was primarily due to a +2.5% increase in the CET1, in line with the quarter’s YTD results. In the YoY analysis, the CET1 ratio increased 34 bps in a context in which adjusted RWAs increase 8.4% and CET1, +11.6%.</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9. Distribution channels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The distribution channels at BCP Stand-alone, Mibanco and BCP Bolivia registered a total of 10,842 </w:t>
      </w:r>
      <w:r>
        <w:rPr>
          <w:rFonts w:ascii="Arial" w:cs="Arial" w:eastAsia="Arial" w:hAnsi="Arial"/>
          <w:sz w:val="18"/>
          <w:szCs w:val="18"/>
          <w:color w:val="auto"/>
        </w:rPr>
        <w:t>points of contact at the end of 3Q19. This level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represents an increase of 170 points QoQ and an expansion of 496 YoY. Growth was due primarily to the expansion in </w:t>
      </w:r>
      <w:r>
        <w:rPr>
          <w:rFonts w:ascii="Arial" w:cs="Arial" w:eastAsia="Arial" w:hAnsi="Arial"/>
          <w:sz w:val="18"/>
          <w:szCs w:val="18"/>
          <w:i w:val="1"/>
          <w:iCs w:val="1"/>
          <w:color w:val="auto"/>
        </w:rPr>
        <w:t>Agentes BCP at BCP Stand-alone and,</w:t>
      </w:r>
      <w:r>
        <w:rPr>
          <w:rFonts w:ascii="Arial" w:cs="Arial" w:eastAsia="Arial" w:hAnsi="Arial"/>
          <w:sz w:val="18"/>
          <w:szCs w:val="18"/>
          <w:color w:val="auto"/>
        </w:rPr>
        <w:t xml:space="preserve"> </w:t>
      </w:r>
      <w:r>
        <w:rPr>
          <w:rFonts w:ascii="Arial" w:cs="Arial" w:eastAsia="Arial" w:hAnsi="Arial"/>
          <w:sz w:val="18"/>
          <w:szCs w:val="18"/>
          <w:i w:val="1"/>
          <w:iCs w:val="1"/>
          <w:color w:val="auto"/>
        </w:rPr>
        <w:t>to a lesser extent, to growth at BCP Bolivia.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r>
              <w:rPr>
                <w:rFonts w:ascii="Arial" w:cs="Arial" w:eastAsia="Arial" w:hAnsi="Arial"/>
                <w:sz w:val="18"/>
                <w:szCs w:val="18"/>
                <w:b w:val="1"/>
                <w:bCs w:val="1"/>
                <w:color w:val="auto"/>
              </w:rPr>
              <w:t>9.1. Universal Banking</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3300" w:type="dxa"/>
            <w:vAlign w:val="bottom"/>
          </w:tcPr>
          <w:p>
            <w:pPr>
              <w:spacing w:after="0"/>
              <w:rPr>
                <w:sz w:val="20"/>
                <w:szCs w:val="20"/>
                <w:color w:val="auto"/>
              </w:rPr>
            </w:pPr>
            <w:r>
              <w:rPr>
                <w:rFonts w:ascii="Arial" w:cs="Arial" w:eastAsia="Arial" w:hAnsi="Arial"/>
                <w:sz w:val="18"/>
                <w:szCs w:val="18"/>
                <w:b w:val="1"/>
                <w:bCs w:val="1"/>
                <w:color w:val="auto"/>
                <w:w w:val="89"/>
              </w:rPr>
              <w:t>9.1.1. Points of Contact – BCP Stand-alone</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27"/>
        </w:trPr>
        <w:tc>
          <w:tcPr>
            <w:tcW w:w="3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As of</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gridSpan w:val="5"/>
          </w:tcPr>
          <w:p>
            <w:pPr>
              <w:ind w:left="540"/>
              <w:spacing w:after="0"/>
              <w:rPr>
                <w:sz w:val="20"/>
                <w:szCs w:val="20"/>
                <w:color w:val="auto"/>
              </w:rPr>
            </w:pPr>
            <w:r>
              <w:rPr>
                <w:rFonts w:ascii="Arial" w:cs="Arial" w:eastAsia="Arial" w:hAnsi="Arial"/>
                <w:sz w:val="18"/>
                <w:szCs w:val="18"/>
                <w:b w:val="1"/>
                <w:bCs w:val="1"/>
                <w:color w:val="auto"/>
              </w:rPr>
              <w:t>change (units)</w:t>
            </w:r>
          </w:p>
        </w:tc>
      </w:tr>
      <w:tr>
        <w:trPr>
          <w:trHeight w:val="234"/>
        </w:trPr>
        <w:tc>
          <w:tcPr>
            <w:tcW w:w="3300" w:type="dxa"/>
            <w:vAlign w:val="bottom"/>
          </w:tcPr>
          <w:p>
            <w:pPr>
              <w:spacing w:after="0"/>
              <w:rPr>
                <w:sz w:val="20"/>
                <w:szCs w:val="20"/>
                <w:color w:val="auto"/>
              </w:rPr>
            </w:pPr>
          </w:p>
        </w:tc>
        <w:tc>
          <w:tcPr>
            <w:tcW w:w="1200" w:type="dxa"/>
            <w:vAlign w:val="bottom"/>
            <w:gridSpan w:val="2"/>
          </w:tcPr>
          <w:p>
            <w:pPr>
              <w:ind w:left="260"/>
              <w:spacing w:after="0"/>
              <w:rPr>
                <w:sz w:val="20"/>
                <w:szCs w:val="20"/>
                <w:color w:val="auto"/>
              </w:rPr>
            </w:pPr>
            <w:r>
              <w:rPr>
                <w:rFonts w:ascii="Arial" w:cs="Arial" w:eastAsia="Arial" w:hAnsi="Arial"/>
                <w:sz w:val="18"/>
                <w:szCs w:val="18"/>
                <w:b w:val="1"/>
                <w:bCs w:val="1"/>
                <w:color w:val="auto"/>
              </w:rPr>
              <w:t>Sep 18</w:t>
            </w: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Jun 19</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Sep 19</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QoQ</w:t>
            </w:r>
          </w:p>
        </w:tc>
        <w:tc>
          <w:tcPr>
            <w:tcW w:w="1060" w:type="dxa"/>
            <w:vAlign w:val="bottom"/>
            <w:gridSpan w:val="3"/>
          </w:tcPr>
          <w:p>
            <w:pPr>
              <w:ind w:left="320"/>
              <w:spacing w:after="0"/>
              <w:rPr>
                <w:sz w:val="20"/>
                <w:szCs w:val="20"/>
                <w:color w:val="auto"/>
              </w:rPr>
            </w:pPr>
            <w:r>
              <w:rPr>
                <w:rFonts w:ascii="Arial" w:cs="Arial" w:eastAsia="Arial" w:hAnsi="Arial"/>
                <w:sz w:val="18"/>
                <w:szCs w:val="18"/>
                <w:b w:val="1"/>
                <w:bCs w:val="1"/>
                <w:color w:val="auto"/>
              </w:rPr>
              <w:t>YoY</w:t>
            </w:r>
          </w:p>
        </w:tc>
      </w:tr>
      <w:tr>
        <w:trPr>
          <w:trHeight w:val="210"/>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Branches</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ATMs</w:t>
            </w:r>
          </w:p>
        </w:tc>
        <w:tc>
          <w:tcPr>
            <w:tcW w:w="1020" w:type="dxa"/>
            <w:vAlign w:val="bottom"/>
          </w:tcPr>
          <w:p>
            <w:pPr>
              <w:jc w:val="right"/>
              <w:spacing w:after="0"/>
              <w:rPr>
                <w:sz w:val="20"/>
                <w:szCs w:val="20"/>
                <w:color w:val="auto"/>
              </w:rPr>
            </w:pPr>
            <w:r>
              <w:rPr>
                <w:rFonts w:ascii="Arial" w:cs="Arial" w:eastAsia="Arial" w:hAnsi="Arial"/>
                <w:sz w:val="18"/>
                <w:szCs w:val="18"/>
                <w:color w:val="auto"/>
              </w:rPr>
              <w:t>2,294</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2,261</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2,266</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r>
      <w:tr>
        <w:trPr>
          <w:trHeight w:val="23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Agentes BCP</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6,646</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6,940</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7,051</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405</w:t>
            </w:r>
          </w:p>
        </w:tc>
        <w:tc>
          <w:tcPr>
            <w:tcW w:w="60" w:type="dxa"/>
            <w:vAlign w:val="bottom"/>
            <w:shd w:val="clear" w:color="auto" w:fill="CCEEFF"/>
          </w:tcPr>
          <w:p>
            <w:pPr>
              <w:spacing w:after="0"/>
              <w:rPr>
                <w:sz w:val="19"/>
                <w:szCs w:val="19"/>
                <w:color w:val="auto"/>
              </w:rPr>
            </w:pPr>
          </w:p>
        </w:tc>
      </w:tr>
      <w:tr>
        <w:trPr>
          <w:trHeight w:val="223"/>
        </w:trPr>
        <w:tc>
          <w:tcPr>
            <w:tcW w:w="3300" w:type="dxa"/>
            <w:vAlign w:val="bottom"/>
          </w:tcPr>
          <w:p>
            <w:pPr>
              <w:spacing w:after="0"/>
              <w:rPr>
                <w:sz w:val="20"/>
                <w:szCs w:val="20"/>
                <w:color w:val="auto"/>
              </w:rPr>
            </w:pPr>
            <w:r>
              <w:rPr>
                <w:rFonts w:ascii="Arial" w:cs="Arial" w:eastAsia="Arial" w:hAnsi="Arial"/>
                <w:sz w:val="18"/>
                <w:szCs w:val="18"/>
                <w:b w:val="1"/>
                <w:bCs w:val="1"/>
                <w:color w:val="auto"/>
              </w:rPr>
              <w:t>Total BCP’s Network</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9,370</w:t>
            </w:r>
          </w:p>
        </w:tc>
        <w:tc>
          <w:tcPr>
            <w:tcW w:w="1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9,604</w:t>
            </w:r>
          </w:p>
        </w:tc>
        <w:tc>
          <w:tcPr>
            <w:tcW w:w="1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9,721</w:t>
            </w:r>
          </w:p>
        </w:tc>
        <w:tc>
          <w:tcPr>
            <w:tcW w:w="1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w:t>
            </w:r>
          </w:p>
        </w:tc>
        <w:tc>
          <w:tcPr>
            <w:tcW w:w="1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351</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QoQ terms BCP Stand-alone registered an increase of 117 in its total points of contacts, which situated at 9,279 at the end of 3Q19. Growth in points of contact was primarily due to an increase in the number of Agentes BCP, which expanded 111 points QoQ. This increase was attributable to the commercial strategy to increase the number of points of contact through cost-efficient channels. In line with this strategy, ATMs and Branches slightly grew +5 and +1 QoQ, respectively. Relative to ATM’s, grow was attributable to increase in new neutral points. Besides, the new branch was opened in Moquegua to cover customer demand and achieve more growth in this province.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YoY analysis, the points of contact at BCP Stand-alone increased 351 units, which was mainly due to growth in the number of Agentes BCP (+405 YoY). ATMs registered a reduction of 28 units, which was driven by a contraction in branches (down by 26). The aforementioned was attributable to the Transformation Strategy at BCP Stand-alone, where the goal is to ensure that 40% of our clients use digital and cost-efficient channels. BCP Stand-alone’s target is to register a total of 7,155 Agentes BCP at the end of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9.1.2. Points of contact by geographic area – BCP Stand-alone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As of</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gridSpan w:val="5"/>
          </w:tcPr>
          <w:p>
            <w:pPr>
              <w:ind w:left="540"/>
              <w:spacing w:after="0"/>
              <w:rPr>
                <w:sz w:val="20"/>
                <w:szCs w:val="20"/>
                <w:color w:val="auto"/>
              </w:rPr>
            </w:pPr>
            <w:r>
              <w:rPr>
                <w:rFonts w:ascii="Arial" w:cs="Arial" w:eastAsia="Arial" w:hAnsi="Arial"/>
                <w:sz w:val="18"/>
                <w:szCs w:val="18"/>
                <w:b w:val="1"/>
                <w:bCs w:val="1"/>
                <w:color w:val="auto"/>
              </w:rPr>
              <w:t>change (units)</w:t>
            </w:r>
          </w:p>
        </w:tc>
      </w:tr>
      <w:tr>
        <w:trPr>
          <w:trHeight w:val="234"/>
        </w:trPr>
        <w:tc>
          <w:tcPr>
            <w:tcW w:w="3300" w:type="dxa"/>
            <w:vAlign w:val="bottom"/>
          </w:tcPr>
          <w:p>
            <w:pPr>
              <w:spacing w:after="0"/>
              <w:rPr>
                <w:sz w:val="20"/>
                <w:szCs w:val="20"/>
                <w:color w:val="auto"/>
              </w:rPr>
            </w:pPr>
          </w:p>
        </w:tc>
        <w:tc>
          <w:tcPr>
            <w:tcW w:w="1200" w:type="dxa"/>
            <w:vAlign w:val="bottom"/>
            <w:gridSpan w:val="2"/>
          </w:tcPr>
          <w:p>
            <w:pPr>
              <w:ind w:left="260"/>
              <w:spacing w:after="0"/>
              <w:rPr>
                <w:sz w:val="20"/>
                <w:szCs w:val="20"/>
                <w:color w:val="auto"/>
              </w:rPr>
            </w:pPr>
            <w:r>
              <w:rPr>
                <w:rFonts w:ascii="Arial" w:cs="Arial" w:eastAsia="Arial" w:hAnsi="Arial"/>
                <w:sz w:val="18"/>
                <w:szCs w:val="18"/>
                <w:b w:val="1"/>
                <w:bCs w:val="1"/>
                <w:color w:val="auto"/>
              </w:rPr>
              <w:t>Sep 18</w:t>
            </w: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Jun 19</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Sep 19</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QoQ</w:t>
            </w:r>
          </w:p>
        </w:tc>
        <w:tc>
          <w:tcPr>
            <w:tcW w:w="1060" w:type="dxa"/>
            <w:vAlign w:val="bottom"/>
            <w:gridSpan w:val="3"/>
          </w:tcPr>
          <w:p>
            <w:pPr>
              <w:ind w:left="320"/>
              <w:spacing w:after="0"/>
              <w:rPr>
                <w:sz w:val="20"/>
                <w:szCs w:val="20"/>
                <w:color w:val="auto"/>
              </w:rPr>
            </w:pPr>
            <w:r>
              <w:rPr>
                <w:rFonts w:ascii="Arial" w:cs="Arial" w:eastAsia="Arial" w:hAnsi="Arial"/>
                <w:sz w:val="18"/>
                <w:szCs w:val="18"/>
                <w:b w:val="1"/>
                <w:bCs w:val="1"/>
                <w:color w:val="auto"/>
              </w:rPr>
              <w:t>YoY</w:t>
            </w:r>
          </w:p>
        </w:tc>
      </w:tr>
      <w:tr>
        <w:trPr>
          <w:trHeight w:val="210"/>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Lima</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Provinces</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159</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148</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149</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r>
      <w:tr>
        <w:trPr>
          <w:trHeight w:val="223"/>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Branches</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430</w:t>
            </w:r>
          </w:p>
        </w:tc>
        <w:tc>
          <w:tcPr>
            <w:tcW w:w="1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403</w:t>
            </w:r>
          </w:p>
        </w:tc>
        <w:tc>
          <w:tcPr>
            <w:tcW w:w="1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404</w:t>
            </w:r>
          </w:p>
        </w:tc>
        <w:tc>
          <w:tcPr>
            <w:tcW w:w="1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r>
      <w:tr>
        <w:trPr>
          <w:trHeight w:val="210"/>
        </w:trPr>
        <w:tc>
          <w:tcPr>
            <w:tcW w:w="3300" w:type="dxa"/>
            <w:vAlign w:val="bottom"/>
          </w:tcPr>
          <w:p>
            <w:pPr>
              <w:spacing w:after="0"/>
              <w:rPr>
                <w:sz w:val="20"/>
                <w:szCs w:val="20"/>
                <w:color w:val="auto"/>
              </w:rPr>
            </w:pPr>
            <w:r>
              <w:rPr>
                <w:rFonts w:ascii="Arial" w:cs="Arial" w:eastAsia="Arial" w:hAnsi="Arial"/>
                <w:sz w:val="18"/>
                <w:szCs w:val="18"/>
                <w:color w:val="auto"/>
              </w:rPr>
              <w:t>Lima</w:t>
            </w:r>
          </w:p>
        </w:tc>
        <w:tc>
          <w:tcPr>
            <w:tcW w:w="1020" w:type="dxa"/>
            <w:vAlign w:val="bottom"/>
          </w:tcPr>
          <w:p>
            <w:pPr>
              <w:jc w:val="right"/>
              <w:spacing w:after="0"/>
              <w:rPr>
                <w:sz w:val="20"/>
                <w:szCs w:val="20"/>
                <w:color w:val="auto"/>
              </w:rPr>
            </w:pPr>
            <w:r>
              <w:rPr>
                <w:rFonts w:ascii="Arial" w:cs="Arial" w:eastAsia="Arial" w:hAnsi="Arial"/>
                <w:sz w:val="18"/>
                <w:szCs w:val="18"/>
                <w:color w:val="auto"/>
              </w:rPr>
              <w:t>1,513</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1,507</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1,514</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Provinces</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781</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754</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752</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9"/>
                <w:szCs w:val="19"/>
                <w:color w:val="auto"/>
              </w:rPr>
            </w:pPr>
          </w:p>
        </w:tc>
      </w:tr>
      <w:tr>
        <w:trPr>
          <w:trHeight w:val="223"/>
        </w:trPr>
        <w:tc>
          <w:tcPr>
            <w:tcW w:w="3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ATM’s</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2,294</w:t>
            </w:r>
          </w:p>
        </w:tc>
        <w:tc>
          <w:tcPr>
            <w:tcW w:w="180" w:type="dxa"/>
            <w:vAlign w:val="bottom"/>
            <w:tcBorders>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2,261</w:t>
            </w:r>
          </w:p>
        </w:tc>
        <w:tc>
          <w:tcPr>
            <w:tcW w:w="180" w:type="dxa"/>
            <w:vAlign w:val="bottom"/>
            <w:tcBorders>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2,266</w:t>
            </w:r>
          </w:p>
        </w:tc>
        <w:tc>
          <w:tcPr>
            <w:tcW w:w="18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r>
      <w:tr>
        <w:trPr>
          <w:trHeight w:val="21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Lima</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Provinces</w:t>
            </w:r>
          </w:p>
        </w:tc>
        <w:tc>
          <w:tcPr>
            <w:tcW w:w="1020" w:type="dxa"/>
            <w:vAlign w:val="bottom"/>
          </w:tcPr>
          <w:p>
            <w:pPr>
              <w:jc w:val="right"/>
              <w:spacing w:after="0"/>
              <w:rPr>
                <w:sz w:val="20"/>
                <w:szCs w:val="20"/>
                <w:color w:val="auto"/>
              </w:rPr>
            </w:pPr>
            <w:r>
              <w:rPr>
                <w:rFonts w:ascii="Arial" w:cs="Arial" w:eastAsia="Arial" w:hAnsi="Arial"/>
                <w:sz w:val="18"/>
                <w:szCs w:val="18"/>
                <w:color w:val="auto"/>
              </w:rPr>
              <w:t>3,177</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3,465</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3,548</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83</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371</w:t>
            </w:r>
          </w:p>
        </w:tc>
        <w:tc>
          <w:tcPr>
            <w:tcW w:w="60" w:type="dxa"/>
            <w:vAlign w:val="bottom"/>
          </w:tcPr>
          <w:p>
            <w:pPr>
              <w:spacing w:after="0"/>
              <w:rPr>
                <w:sz w:val="19"/>
                <w:szCs w:val="19"/>
                <w:color w:val="auto"/>
              </w:rPr>
            </w:pPr>
          </w:p>
        </w:tc>
      </w:tr>
      <w:tr>
        <w:trPr>
          <w:trHeight w:val="223"/>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Agentes BCP</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6,646</w:t>
            </w:r>
          </w:p>
        </w:tc>
        <w:tc>
          <w:tcPr>
            <w:tcW w:w="1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6,940</w:t>
            </w:r>
          </w:p>
        </w:tc>
        <w:tc>
          <w:tcPr>
            <w:tcW w:w="1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7,051</w:t>
            </w:r>
          </w:p>
        </w:tc>
        <w:tc>
          <w:tcPr>
            <w:tcW w:w="1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r>
      <w:tr>
        <w:trPr>
          <w:trHeight w:val="223"/>
        </w:trPr>
        <w:tc>
          <w:tcPr>
            <w:tcW w:w="3300" w:type="dxa"/>
            <w:vAlign w:val="bottom"/>
          </w:tcPr>
          <w:p>
            <w:pPr>
              <w:spacing w:after="0"/>
              <w:rPr>
                <w:sz w:val="20"/>
                <w:szCs w:val="20"/>
                <w:color w:val="auto"/>
              </w:rPr>
            </w:pPr>
            <w:r>
              <w:rPr>
                <w:rFonts w:ascii="Arial" w:cs="Arial" w:eastAsia="Arial" w:hAnsi="Arial"/>
                <w:sz w:val="18"/>
                <w:szCs w:val="18"/>
                <w:b w:val="1"/>
                <w:bCs w:val="1"/>
                <w:color w:val="auto"/>
              </w:rPr>
              <w:t>Total points of contact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9,370</w:t>
            </w:r>
          </w:p>
        </w:tc>
        <w:tc>
          <w:tcPr>
            <w:tcW w:w="18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9,604</w:t>
            </w:r>
          </w:p>
        </w:tc>
        <w:tc>
          <w:tcPr>
            <w:tcW w:w="18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9,721</w:t>
            </w:r>
          </w:p>
        </w:tc>
        <w:tc>
          <w:tcPr>
            <w:tcW w:w="1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w:t>
            </w:r>
          </w:p>
        </w:tc>
        <w:tc>
          <w:tcPr>
            <w:tcW w:w="1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351</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quarter, the number of points of contact increased by 117. It is important to note that the most significant contribution to this growth was generated by new Agentes BCP in the provinces (+83 QoQ) and, to a lesser extent, in Lima (+28 QoQ). This is part of our focus to facilitate access to financial services for a growing number of clients at the provincial level.</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Growth YoY (+351) in total points of contact was due primarily to an increase of 405 Agentes BCP, of which 34 were in Lima and 371 in the provinces. As mentioned, the expansion reported in this channel reflects the Transformation strategy at BCP Stand-alone, whose objective is to migrate clients to cost-efficient channels. This is aligned with a two-pronged goal that focuses on being closer to our current clients and providing the unserved population access to financial services. In this context, 92% of total growth was seen in Agentes at the provincial level.</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8" w:name="page49"/>
    <w:bookmarkEnd w:id="48"/>
    <w:p>
      <w:pPr>
        <w:jc w:val="both"/>
        <w:spacing w:after="0" w:line="277" w:lineRule="auto"/>
        <w:rPr>
          <w:sz w:val="20"/>
          <w:szCs w:val="20"/>
          <w:color w:val="auto"/>
        </w:rPr>
      </w:pPr>
      <w:r>
        <w:rPr>
          <w:rFonts w:ascii="Arial" w:cs="Arial" w:eastAsia="Arial" w:hAnsi="Arial"/>
          <w:sz w:val="18"/>
          <w:szCs w:val="18"/>
          <w:color w:val="auto"/>
        </w:rPr>
        <w:t>This growth in Agentes offset the drop in the number of branches. This contraction was seen both in Lima (-16) and in the provinces (-10). The number of ATMs grew in Lima (1) but fell in the provinces (-29), where ATMs were removed from branches.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9.1.3. Transactions per channel – BCP Stand-alone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Transactions per channel – BCP Stand-alone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vMerge w:val="restart"/>
          </w:tcPr>
          <w:p>
            <w:pPr>
              <w:spacing w:after="0"/>
              <w:rPr>
                <w:sz w:val="20"/>
                <w:szCs w:val="20"/>
                <w:color w:val="auto"/>
              </w:rPr>
            </w:pPr>
            <w:r>
              <w:rPr>
                <w:rFonts w:ascii="Arial" w:cs="Arial" w:eastAsia="Arial" w:hAnsi="Arial"/>
                <w:sz w:val="14"/>
                <w:szCs w:val="14"/>
                <w:b w:val="1"/>
                <w:bCs w:val="1"/>
                <w:color w:val="auto"/>
                <w:w w:val="89"/>
              </w:rPr>
              <w:t xml:space="preserve">N° of Transactions per channel </w:t>
            </w:r>
            <w:r>
              <w:rPr>
                <w:rFonts w:ascii="Arial" w:cs="Arial" w:eastAsia="Arial" w:hAnsi="Arial"/>
                <w:sz w:val="23"/>
                <w:szCs w:val="23"/>
                <w:b w:val="1"/>
                <w:bCs w:val="1"/>
                <w:color w:val="auto"/>
                <w:w w:val="89"/>
                <w:vertAlign w:val="superscript"/>
              </w:rPr>
              <w:t>(1)</w:t>
            </w:r>
          </w:p>
        </w:tc>
        <w:tc>
          <w:tcPr>
            <w:tcW w:w="100" w:type="dxa"/>
            <w:vAlign w:val="bottom"/>
            <w:vMerge w:val="restart"/>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40" w:type="dxa"/>
            <w:vAlign w:val="bottom"/>
            <w:gridSpan w:val="5"/>
          </w:tcPr>
          <w:p>
            <w:pPr>
              <w:jc w:val="right"/>
              <w:ind w:right="8"/>
              <w:spacing w:after="0"/>
              <w:rPr>
                <w:sz w:val="20"/>
                <w:szCs w:val="20"/>
                <w:color w:val="auto"/>
              </w:rPr>
            </w:pPr>
            <w:r>
              <w:rPr>
                <w:rFonts w:ascii="Arial" w:cs="Arial" w:eastAsia="Arial" w:hAnsi="Arial"/>
                <w:sz w:val="14"/>
                <w:szCs w:val="14"/>
                <w:b w:val="1"/>
                <w:bCs w:val="1"/>
                <w:color w:val="auto"/>
                <w:w w:val="94"/>
              </w:rPr>
              <w:t>Monthly average in each quarter</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3"/>
          </w:tcPr>
          <w:p>
            <w:pPr>
              <w:ind w:left="620"/>
              <w:spacing w:after="0"/>
              <w:rPr>
                <w:sz w:val="20"/>
                <w:szCs w:val="20"/>
                <w:color w:val="auto"/>
              </w:rPr>
            </w:pPr>
            <w:r>
              <w:rPr>
                <w:rFonts w:ascii="Arial" w:cs="Arial" w:eastAsia="Arial" w:hAnsi="Arial"/>
                <w:sz w:val="14"/>
                <w:szCs w:val="14"/>
                <w:b w:val="1"/>
                <w:bCs w:val="1"/>
                <w:color w:val="auto"/>
              </w:rPr>
              <w:t>% change</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3Q18</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2Q19</w:t>
            </w: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3Q19</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YoY</w:t>
            </w:r>
          </w:p>
        </w:tc>
        <w:tc>
          <w:tcPr>
            <w:tcW w:w="1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1000" w:type="dxa"/>
            <w:vAlign w:val="bottom"/>
            <w:shd w:val="clear" w:color="auto" w:fill="CCEEFF"/>
          </w:tcPr>
          <w:p>
            <w:pPr>
              <w:jc w:val="center"/>
              <w:spacing w:after="0" w:line="119" w:lineRule="exact"/>
              <w:rPr>
                <w:sz w:val="20"/>
                <w:szCs w:val="20"/>
                <w:color w:val="auto"/>
              </w:rPr>
            </w:pPr>
            <w:r>
              <w:rPr>
                <w:rFonts w:ascii="Arial" w:cs="Arial" w:eastAsia="Arial" w:hAnsi="Arial"/>
                <w:sz w:val="13"/>
                <w:szCs w:val="13"/>
                <w:b w:val="1"/>
                <w:bCs w:val="1"/>
                <w:color w:val="auto"/>
              </w:rPr>
              <w:t>Traditional</w:t>
            </w:r>
          </w:p>
        </w:tc>
        <w:tc>
          <w:tcPr>
            <w:tcW w:w="100" w:type="dxa"/>
            <w:vAlign w:val="bottom"/>
            <w:shd w:val="clear" w:color="auto" w:fill="CCEEFF"/>
          </w:tcPr>
          <w:p>
            <w:pPr>
              <w:spacing w:after="0"/>
              <w:rPr>
                <w:sz w:val="10"/>
                <w:szCs w:val="10"/>
                <w:color w:val="auto"/>
              </w:rPr>
            </w:pPr>
          </w:p>
        </w:tc>
        <w:tc>
          <w:tcPr>
            <w:tcW w:w="2080" w:type="dxa"/>
            <w:vAlign w:val="bottom"/>
            <w:shd w:val="clear" w:color="auto" w:fill="CCEEFF"/>
          </w:tcPr>
          <w:p>
            <w:pPr>
              <w:spacing w:after="0" w:line="119" w:lineRule="exact"/>
              <w:rPr>
                <w:sz w:val="20"/>
                <w:szCs w:val="20"/>
                <w:color w:val="auto"/>
              </w:rPr>
            </w:pPr>
            <w:r>
              <w:rPr>
                <w:rFonts w:ascii="Arial" w:cs="Arial" w:eastAsia="Arial" w:hAnsi="Arial"/>
                <w:sz w:val="13"/>
                <w:szCs w:val="13"/>
                <w:color w:val="auto"/>
              </w:rPr>
              <w:t>Teller</w:t>
            </w: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8,102,687</w:t>
            </w:r>
          </w:p>
        </w:tc>
        <w:tc>
          <w:tcPr>
            <w:tcW w:w="10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3"/>
                <w:szCs w:val="13"/>
                <w:color w:val="auto"/>
              </w:rPr>
              <w:t>5.3%</w:t>
            </w: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7,742,591</w:t>
            </w:r>
          </w:p>
        </w:tc>
        <w:tc>
          <w:tcPr>
            <w:tcW w:w="12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68"/>
              <w:spacing w:after="0" w:line="119" w:lineRule="exact"/>
              <w:rPr>
                <w:sz w:val="20"/>
                <w:szCs w:val="20"/>
                <w:color w:val="auto"/>
              </w:rPr>
            </w:pPr>
            <w:r>
              <w:rPr>
                <w:rFonts w:ascii="Arial" w:cs="Arial" w:eastAsia="Arial" w:hAnsi="Arial"/>
                <w:sz w:val="13"/>
                <w:szCs w:val="13"/>
                <w:color w:val="auto"/>
              </w:rPr>
              <w:t>4.0%</w:t>
            </w:r>
          </w:p>
        </w:tc>
        <w:tc>
          <w:tcPr>
            <w:tcW w:w="90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7,711,756</w:t>
            </w:r>
          </w:p>
        </w:tc>
        <w:tc>
          <w:tcPr>
            <w:tcW w:w="10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48"/>
              <w:spacing w:after="0" w:line="119" w:lineRule="exact"/>
              <w:rPr>
                <w:sz w:val="20"/>
                <w:szCs w:val="20"/>
                <w:color w:val="auto"/>
              </w:rPr>
            </w:pPr>
            <w:r>
              <w:rPr>
                <w:rFonts w:ascii="Arial" w:cs="Arial" w:eastAsia="Arial" w:hAnsi="Arial"/>
                <w:sz w:val="13"/>
                <w:szCs w:val="13"/>
                <w:color w:val="auto"/>
              </w:rPr>
              <w:t>3.6%</w:t>
            </w:r>
          </w:p>
        </w:tc>
        <w:tc>
          <w:tcPr>
            <w:tcW w:w="1040" w:type="dxa"/>
            <w:vAlign w:val="bottom"/>
            <w:gridSpan w:val="2"/>
            <w:shd w:val="clear" w:color="auto" w:fill="CCEEFF"/>
          </w:tcPr>
          <w:p>
            <w:pPr>
              <w:jc w:val="right"/>
              <w:ind w:right="48"/>
              <w:spacing w:after="0" w:line="119" w:lineRule="exact"/>
              <w:rPr>
                <w:sz w:val="20"/>
                <w:szCs w:val="20"/>
                <w:color w:val="auto"/>
              </w:rPr>
            </w:pPr>
            <w:r>
              <w:rPr>
                <w:rFonts w:ascii="Arial" w:cs="Arial" w:eastAsia="Arial" w:hAnsi="Arial"/>
                <w:sz w:val="13"/>
                <w:szCs w:val="13"/>
                <w:color w:val="auto"/>
              </w:rPr>
              <w:t>-0.4%</w:t>
            </w:r>
          </w:p>
        </w:tc>
        <w:tc>
          <w:tcPr>
            <w:tcW w:w="2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85"/>
        </w:trPr>
        <w:tc>
          <w:tcPr>
            <w:tcW w:w="10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85"/>
              </w:rPr>
              <w:t>channels</w:t>
            </w:r>
          </w:p>
        </w:tc>
        <w:tc>
          <w:tcPr>
            <w:tcW w:w="100" w:type="dxa"/>
            <w:vAlign w:val="bottom"/>
            <w:shd w:val="clear" w:color="auto" w:fill="CCEEFF"/>
          </w:tcPr>
          <w:p>
            <w:pPr>
              <w:spacing w:after="0"/>
              <w:rPr>
                <w:sz w:val="16"/>
                <w:szCs w:val="16"/>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Telephone banking</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4,896,746</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4,689,830</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2.4%</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4,803,032</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2.3%</w:t>
            </w:r>
          </w:p>
        </w:tc>
        <w:tc>
          <w:tcPr>
            <w:tcW w:w="10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2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
        </w:trPr>
        <w:tc>
          <w:tcPr>
            <w:tcW w:w="10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3"/>
              </w:rPr>
              <w:t>Cost-efficient</w:t>
            </w:r>
          </w:p>
        </w:tc>
        <w:tc>
          <w:tcPr>
            <w:tcW w:w="100" w:type="dxa"/>
            <w:vAlign w:val="bottom"/>
          </w:tcPr>
          <w:p>
            <w:pPr>
              <w:spacing w:after="0" w:line="20" w:lineRule="exact"/>
              <w:rPr>
                <w:sz w:val="1"/>
                <w:szCs w:val="1"/>
                <w:color w:val="auto"/>
              </w:rPr>
            </w:pPr>
          </w:p>
        </w:tc>
        <w:tc>
          <w:tcPr>
            <w:tcW w:w="2180" w:type="dxa"/>
            <w:vAlign w:val="bottom"/>
            <w:gridSpan w:val="2"/>
            <w:vMerge w:val="restart"/>
          </w:tcPr>
          <w:p>
            <w:pPr>
              <w:spacing w:after="0" w:line="139" w:lineRule="exact"/>
              <w:rPr>
                <w:sz w:val="20"/>
                <w:szCs w:val="20"/>
                <w:color w:val="auto"/>
              </w:rPr>
            </w:pPr>
            <w:r>
              <w:rPr>
                <w:rFonts w:ascii="Arial" w:cs="Arial" w:eastAsia="Arial" w:hAnsi="Arial"/>
                <w:sz w:val="14"/>
                <w:szCs w:val="14"/>
                <w:color w:val="auto"/>
              </w:rPr>
              <w:t>Agentes BCP</w:t>
            </w: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0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180" w:type="dxa"/>
            <w:vAlign w:val="bottom"/>
            <w:gridSpan w:val="2"/>
            <w:vMerge w:val="continue"/>
          </w:tcPr>
          <w:p>
            <w:pPr>
              <w:spacing w:after="0"/>
              <w:rPr>
                <w:sz w:val="10"/>
                <w:szCs w:val="10"/>
                <w:color w:val="auto"/>
              </w:rPr>
            </w:pPr>
          </w:p>
        </w:tc>
        <w:tc>
          <w:tcPr>
            <w:tcW w:w="920" w:type="dxa"/>
            <w:vAlign w:val="bottom"/>
          </w:tcPr>
          <w:p>
            <w:pPr>
              <w:jc w:val="right"/>
              <w:spacing w:after="0" w:line="119" w:lineRule="exact"/>
              <w:rPr>
                <w:sz w:val="20"/>
                <w:szCs w:val="20"/>
                <w:color w:val="auto"/>
              </w:rPr>
            </w:pPr>
            <w:r>
              <w:rPr>
                <w:rFonts w:ascii="Arial" w:cs="Arial" w:eastAsia="Arial" w:hAnsi="Arial"/>
                <w:sz w:val="13"/>
                <w:szCs w:val="13"/>
                <w:color w:val="auto"/>
              </w:rPr>
              <w:t>23,391,555</w:t>
            </w:r>
          </w:p>
        </w:tc>
        <w:tc>
          <w:tcPr>
            <w:tcW w:w="100" w:type="dxa"/>
            <w:vAlign w:val="bottom"/>
          </w:tcPr>
          <w:p>
            <w:pPr>
              <w:spacing w:after="0"/>
              <w:rPr>
                <w:sz w:val="10"/>
                <w:szCs w:val="10"/>
                <w:color w:val="auto"/>
              </w:rPr>
            </w:pPr>
          </w:p>
        </w:tc>
        <w:tc>
          <w:tcPr>
            <w:tcW w:w="960" w:type="dxa"/>
            <w:vAlign w:val="bottom"/>
            <w:gridSpan w:val="2"/>
          </w:tcPr>
          <w:p>
            <w:pPr>
              <w:jc w:val="right"/>
              <w:spacing w:after="0" w:line="119" w:lineRule="exact"/>
              <w:rPr>
                <w:sz w:val="20"/>
                <w:szCs w:val="20"/>
                <w:color w:val="auto"/>
              </w:rPr>
            </w:pPr>
            <w:r>
              <w:rPr>
                <w:rFonts w:ascii="Arial" w:cs="Arial" w:eastAsia="Arial" w:hAnsi="Arial"/>
                <w:sz w:val="13"/>
                <w:szCs w:val="13"/>
                <w:color w:val="auto"/>
              </w:rPr>
              <w:t>15.4%</w:t>
            </w:r>
          </w:p>
        </w:tc>
        <w:tc>
          <w:tcPr>
            <w:tcW w:w="80" w:type="dxa"/>
            <w:vAlign w:val="bottom"/>
            <w:vMerge w:val="continue"/>
          </w:tcPr>
          <w:p>
            <w:pPr>
              <w:spacing w:after="0"/>
              <w:rPr>
                <w:sz w:val="10"/>
                <w:szCs w:val="10"/>
                <w:color w:val="auto"/>
              </w:rPr>
            </w:pPr>
          </w:p>
        </w:tc>
        <w:tc>
          <w:tcPr>
            <w:tcW w:w="900" w:type="dxa"/>
            <w:vAlign w:val="bottom"/>
          </w:tcPr>
          <w:p>
            <w:pPr>
              <w:jc w:val="right"/>
              <w:spacing w:after="0" w:line="119" w:lineRule="exact"/>
              <w:rPr>
                <w:sz w:val="20"/>
                <w:szCs w:val="20"/>
                <w:color w:val="auto"/>
              </w:rPr>
            </w:pPr>
            <w:r>
              <w:rPr>
                <w:rFonts w:ascii="Arial" w:cs="Arial" w:eastAsia="Arial" w:hAnsi="Arial"/>
                <w:sz w:val="13"/>
                <w:szCs w:val="13"/>
                <w:color w:val="auto"/>
              </w:rPr>
              <w:t>27,012,231</w:t>
            </w:r>
          </w:p>
        </w:tc>
        <w:tc>
          <w:tcPr>
            <w:tcW w:w="120" w:type="dxa"/>
            <w:vAlign w:val="bottom"/>
          </w:tcPr>
          <w:p>
            <w:pPr>
              <w:spacing w:after="0"/>
              <w:rPr>
                <w:sz w:val="10"/>
                <w:szCs w:val="10"/>
                <w:color w:val="auto"/>
              </w:rPr>
            </w:pPr>
          </w:p>
        </w:tc>
        <w:tc>
          <w:tcPr>
            <w:tcW w:w="1040" w:type="dxa"/>
            <w:vAlign w:val="bottom"/>
            <w:gridSpan w:val="2"/>
          </w:tcPr>
          <w:p>
            <w:pPr>
              <w:jc w:val="right"/>
              <w:ind w:right="68"/>
              <w:spacing w:after="0" w:line="119" w:lineRule="exact"/>
              <w:rPr>
                <w:sz w:val="20"/>
                <w:szCs w:val="20"/>
                <w:color w:val="auto"/>
              </w:rPr>
            </w:pPr>
            <w:r>
              <w:rPr>
                <w:rFonts w:ascii="Arial" w:cs="Arial" w:eastAsia="Arial" w:hAnsi="Arial"/>
                <w:sz w:val="13"/>
                <w:szCs w:val="13"/>
                <w:color w:val="auto"/>
              </w:rPr>
              <w:t>14.1%</w:t>
            </w:r>
          </w:p>
        </w:tc>
        <w:tc>
          <w:tcPr>
            <w:tcW w:w="900" w:type="dxa"/>
            <w:vAlign w:val="bottom"/>
          </w:tcPr>
          <w:p>
            <w:pPr>
              <w:jc w:val="right"/>
              <w:spacing w:after="0" w:line="119" w:lineRule="exact"/>
              <w:rPr>
                <w:sz w:val="20"/>
                <w:szCs w:val="20"/>
                <w:color w:val="auto"/>
              </w:rPr>
            </w:pPr>
            <w:r>
              <w:rPr>
                <w:rFonts w:ascii="Arial" w:cs="Arial" w:eastAsia="Arial" w:hAnsi="Arial"/>
                <w:sz w:val="13"/>
                <w:szCs w:val="13"/>
                <w:color w:val="auto"/>
              </w:rPr>
              <w:t>29,492,554</w:t>
            </w:r>
          </w:p>
        </w:tc>
        <w:tc>
          <w:tcPr>
            <w:tcW w:w="100" w:type="dxa"/>
            <w:vAlign w:val="bottom"/>
          </w:tcPr>
          <w:p>
            <w:pPr>
              <w:spacing w:after="0"/>
              <w:rPr>
                <w:sz w:val="10"/>
                <w:szCs w:val="10"/>
                <w:color w:val="auto"/>
              </w:rPr>
            </w:pPr>
          </w:p>
        </w:tc>
        <w:tc>
          <w:tcPr>
            <w:tcW w:w="1040" w:type="dxa"/>
            <w:vAlign w:val="bottom"/>
            <w:gridSpan w:val="2"/>
          </w:tcPr>
          <w:p>
            <w:pPr>
              <w:jc w:val="right"/>
              <w:ind w:right="48"/>
              <w:spacing w:after="0" w:line="119" w:lineRule="exact"/>
              <w:rPr>
                <w:sz w:val="20"/>
                <w:szCs w:val="20"/>
                <w:color w:val="auto"/>
              </w:rPr>
            </w:pPr>
            <w:r>
              <w:rPr>
                <w:rFonts w:ascii="Arial" w:cs="Arial" w:eastAsia="Arial" w:hAnsi="Arial"/>
                <w:sz w:val="13"/>
                <w:szCs w:val="13"/>
                <w:color w:val="auto"/>
              </w:rPr>
              <w:t>13.9%</w:t>
            </w:r>
          </w:p>
        </w:tc>
        <w:tc>
          <w:tcPr>
            <w:tcW w:w="1040" w:type="dxa"/>
            <w:vAlign w:val="bottom"/>
            <w:gridSpan w:val="2"/>
          </w:tcPr>
          <w:p>
            <w:pPr>
              <w:jc w:val="right"/>
              <w:ind w:right="48"/>
              <w:spacing w:after="0" w:line="119" w:lineRule="exact"/>
              <w:rPr>
                <w:sz w:val="20"/>
                <w:szCs w:val="20"/>
                <w:color w:val="auto"/>
              </w:rPr>
            </w:pPr>
            <w:r>
              <w:rPr>
                <w:rFonts w:ascii="Arial" w:cs="Arial" w:eastAsia="Arial" w:hAnsi="Arial"/>
                <w:sz w:val="13"/>
                <w:szCs w:val="13"/>
                <w:color w:val="auto"/>
              </w:rPr>
              <w:t>9.2%</w:t>
            </w:r>
          </w:p>
        </w:tc>
        <w:tc>
          <w:tcPr>
            <w:tcW w:w="26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color w:val="auto"/>
              </w:rPr>
              <w:t>26.1%</w:t>
            </w:r>
          </w:p>
        </w:tc>
        <w:tc>
          <w:tcPr>
            <w:tcW w:w="0" w:type="dxa"/>
            <w:vAlign w:val="bottom"/>
          </w:tcPr>
          <w:p>
            <w:pPr>
              <w:spacing w:after="0"/>
              <w:rPr>
                <w:sz w:val="1"/>
                <w:szCs w:val="1"/>
                <w:color w:val="auto"/>
              </w:rPr>
            </w:pPr>
          </w:p>
        </w:tc>
      </w:tr>
      <w:tr>
        <w:trPr>
          <w:trHeight w:val="185"/>
        </w:trPr>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5"/>
              </w:rPr>
              <w:t>channels</w:t>
            </w:r>
          </w:p>
        </w:tc>
        <w:tc>
          <w:tcPr>
            <w:tcW w:w="100" w:type="dxa"/>
            <w:vAlign w:val="bottom"/>
          </w:tcPr>
          <w:p>
            <w:pPr>
              <w:spacing w:after="0"/>
              <w:rPr>
                <w:sz w:val="16"/>
                <w:szCs w:val="16"/>
                <w:color w:val="auto"/>
              </w:rPr>
            </w:pPr>
          </w:p>
        </w:tc>
        <w:tc>
          <w:tcPr>
            <w:tcW w:w="2180" w:type="dxa"/>
            <w:vAlign w:val="bottom"/>
            <w:gridSpan w:val="2"/>
          </w:tcPr>
          <w:p>
            <w:pPr>
              <w:spacing w:after="0"/>
              <w:rPr>
                <w:sz w:val="20"/>
                <w:szCs w:val="20"/>
                <w:color w:val="auto"/>
              </w:rPr>
            </w:pPr>
            <w:r>
              <w:rPr>
                <w:rFonts w:ascii="Arial" w:cs="Arial" w:eastAsia="Arial" w:hAnsi="Arial"/>
                <w:sz w:val="14"/>
                <w:szCs w:val="14"/>
                <w:color w:val="auto"/>
              </w:rPr>
              <w:t>ATMs</w:t>
            </w:r>
          </w:p>
        </w:tc>
        <w:tc>
          <w:tcPr>
            <w:tcW w:w="920" w:type="dxa"/>
            <w:vAlign w:val="bottom"/>
          </w:tcPr>
          <w:p>
            <w:pPr>
              <w:jc w:val="right"/>
              <w:spacing w:after="0"/>
              <w:rPr>
                <w:sz w:val="20"/>
                <w:szCs w:val="20"/>
                <w:color w:val="auto"/>
              </w:rPr>
            </w:pPr>
            <w:r>
              <w:rPr>
                <w:rFonts w:ascii="Arial" w:cs="Arial" w:eastAsia="Arial" w:hAnsi="Arial"/>
                <w:sz w:val="14"/>
                <w:szCs w:val="14"/>
                <w:color w:val="auto"/>
              </w:rPr>
              <w:t>18,838,132</w:t>
            </w:r>
          </w:p>
        </w:tc>
        <w:tc>
          <w:tcPr>
            <w:tcW w:w="10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12.4%</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24,685,223</w:t>
            </w:r>
          </w:p>
        </w:tc>
        <w:tc>
          <w:tcPr>
            <w:tcW w:w="120" w:type="dxa"/>
            <w:vAlign w:val="bottom"/>
          </w:tcPr>
          <w:p>
            <w:pPr>
              <w:spacing w:after="0"/>
              <w:rPr>
                <w:sz w:val="16"/>
                <w:szCs w:val="16"/>
                <w:color w:val="auto"/>
              </w:rPr>
            </w:pPr>
          </w:p>
        </w:tc>
        <w:tc>
          <w:tcPr>
            <w:tcW w:w="1040" w:type="dxa"/>
            <w:vAlign w:val="bottom"/>
            <w:gridSpan w:val="2"/>
          </w:tcPr>
          <w:p>
            <w:pPr>
              <w:jc w:val="right"/>
              <w:ind w:right="68"/>
              <w:spacing w:after="0"/>
              <w:rPr>
                <w:sz w:val="20"/>
                <w:szCs w:val="20"/>
                <w:color w:val="auto"/>
              </w:rPr>
            </w:pPr>
            <w:r>
              <w:rPr>
                <w:rFonts w:ascii="Arial" w:cs="Arial" w:eastAsia="Arial" w:hAnsi="Arial"/>
                <w:sz w:val="14"/>
                <w:szCs w:val="14"/>
                <w:color w:val="auto"/>
              </w:rPr>
              <w:t>12.9%</w:t>
            </w:r>
          </w:p>
        </w:tc>
        <w:tc>
          <w:tcPr>
            <w:tcW w:w="900" w:type="dxa"/>
            <w:vAlign w:val="bottom"/>
          </w:tcPr>
          <w:p>
            <w:pPr>
              <w:jc w:val="right"/>
              <w:spacing w:after="0"/>
              <w:rPr>
                <w:sz w:val="20"/>
                <w:szCs w:val="20"/>
                <w:color w:val="auto"/>
              </w:rPr>
            </w:pPr>
            <w:r>
              <w:rPr>
                <w:rFonts w:ascii="Arial" w:cs="Arial" w:eastAsia="Arial" w:hAnsi="Arial"/>
                <w:sz w:val="14"/>
                <w:szCs w:val="14"/>
                <w:color w:val="auto"/>
              </w:rPr>
              <w:t>24,953,751</w:t>
            </w:r>
          </w:p>
        </w:tc>
        <w:tc>
          <w:tcPr>
            <w:tcW w:w="100" w:type="dxa"/>
            <w:vAlign w:val="bottom"/>
          </w:tcPr>
          <w:p>
            <w:pPr>
              <w:spacing w:after="0"/>
              <w:rPr>
                <w:sz w:val="16"/>
                <w:szCs w:val="16"/>
                <w:color w:val="auto"/>
              </w:rPr>
            </w:pPr>
          </w:p>
        </w:tc>
        <w:tc>
          <w:tcPr>
            <w:tcW w:w="1040" w:type="dxa"/>
            <w:vAlign w:val="bottom"/>
            <w:gridSpan w:val="2"/>
          </w:tcPr>
          <w:p>
            <w:pPr>
              <w:jc w:val="right"/>
              <w:ind w:right="48"/>
              <w:spacing w:after="0"/>
              <w:rPr>
                <w:sz w:val="20"/>
                <w:szCs w:val="20"/>
                <w:color w:val="auto"/>
              </w:rPr>
            </w:pPr>
            <w:r>
              <w:rPr>
                <w:rFonts w:ascii="Arial" w:cs="Arial" w:eastAsia="Arial" w:hAnsi="Arial"/>
                <w:sz w:val="14"/>
                <w:szCs w:val="14"/>
                <w:color w:val="auto"/>
              </w:rPr>
              <w:t>11.8%</w:t>
            </w:r>
          </w:p>
        </w:tc>
        <w:tc>
          <w:tcPr>
            <w:tcW w:w="1040" w:type="dxa"/>
            <w:vAlign w:val="bottom"/>
            <w:gridSpan w:val="2"/>
          </w:tcPr>
          <w:p>
            <w:pPr>
              <w:jc w:val="right"/>
              <w:ind w:right="48"/>
              <w:spacing w:after="0"/>
              <w:rPr>
                <w:sz w:val="20"/>
                <w:szCs w:val="20"/>
                <w:color w:val="auto"/>
              </w:rPr>
            </w:pPr>
            <w:r>
              <w:rPr>
                <w:rFonts w:ascii="Arial" w:cs="Arial" w:eastAsia="Arial" w:hAnsi="Arial"/>
                <w:sz w:val="14"/>
                <w:szCs w:val="14"/>
                <w:color w:val="auto"/>
              </w:rPr>
              <w:t>1.1%</w:t>
            </w:r>
          </w:p>
        </w:tc>
        <w:tc>
          <w:tcPr>
            <w:tcW w:w="26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20"/>
        </w:trPr>
        <w:tc>
          <w:tcPr>
            <w:tcW w:w="1000" w:type="dxa"/>
            <w:vAlign w:val="bottom"/>
            <w:vMerge w:val="restart"/>
            <w:shd w:val="clear" w:color="auto" w:fill="CCEEFF"/>
          </w:tcPr>
          <w:p>
            <w:pPr>
              <w:jc w:val="center"/>
              <w:spacing w:after="0" w:line="139" w:lineRule="exact"/>
              <w:rPr>
                <w:sz w:val="20"/>
                <w:szCs w:val="20"/>
                <w:color w:val="auto"/>
              </w:rPr>
            </w:pPr>
            <w:r>
              <w:rPr>
                <w:rFonts w:ascii="Arial" w:cs="Arial" w:eastAsia="Arial" w:hAnsi="Arial"/>
                <w:sz w:val="14"/>
                <w:szCs w:val="14"/>
                <w:b w:val="1"/>
                <w:bCs w:val="1"/>
                <w:color w:val="auto"/>
                <w:w w:val="93"/>
              </w:rPr>
              <w:t>Digital</w:t>
            </w:r>
          </w:p>
        </w:tc>
        <w:tc>
          <w:tcPr>
            <w:tcW w:w="100" w:type="dxa"/>
            <w:vAlign w:val="bottom"/>
            <w:shd w:val="clear" w:color="auto" w:fill="CCEEFF"/>
          </w:tcPr>
          <w:p>
            <w:pPr>
              <w:spacing w:after="0" w:line="20" w:lineRule="exact"/>
              <w:rPr>
                <w:sz w:val="1"/>
                <w:szCs w:val="1"/>
                <w:color w:val="auto"/>
              </w:rPr>
            </w:pPr>
          </w:p>
        </w:tc>
        <w:tc>
          <w:tcPr>
            <w:tcW w:w="2180" w:type="dxa"/>
            <w:vAlign w:val="bottom"/>
            <w:gridSpan w:val="2"/>
            <w:vMerge w:val="restart"/>
            <w:shd w:val="clear" w:color="auto" w:fill="CCEEFF"/>
          </w:tcPr>
          <w:p>
            <w:pPr>
              <w:spacing w:after="0" w:line="139" w:lineRule="exact"/>
              <w:rPr>
                <w:sz w:val="20"/>
                <w:szCs w:val="20"/>
                <w:color w:val="auto"/>
              </w:rPr>
            </w:pPr>
            <w:r>
              <w:rPr>
                <w:rFonts w:ascii="Arial" w:cs="Arial" w:eastAsia="Arial" w:hAnsi="Arial"/>
                <w:sz w:val="14"/>
                <w:szCs w:val="14"/>
                <w:color w:val="auto"/>
              </w:rPr>
              <w:t>Mobile banking</w:t>
            </w: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0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180" w:type="dxa"/>
            <w:vAlign w:val="bottom"/>
            <w:gridSpan w:val="2"/>
            <w:vMerge w:val="continue"/>
            <w:shd w:val="clear" w:color="auto" w:fill="CCEEFF"/>
          </w:tcPr>
          <w:p>
            <w:pPr>
              <w:spacing w:after="0"/>
              <w:rPr>
                <w:sz w:val="10"/>
                <w:szCs w:val="10"/>
                <w:color w:val="auto"/>
              </w:rPr>
            </w:pPr>
          </w:p>
        </w:tc>
        <w:tc>
          <w:tcPr>
            <w:tcW w:w="92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48,996,671</w:t>
            </w:r>
          </w:p>
        </w:tc>
        <w:tc>
          <w:tcPr>
            <w:tcW w:w="10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3"/>
                <w:szCs w:val="13"/>
                <w:color w:val="auto"/>
              </w:rPr>
              <w:t>32.2%</w:t>
            </w:r>
          </w:p>
        </w:tc>
        <w:tc>
          <w:tcPr>
            <w:tcW w:w="80" w:type="dxa"/>
            <w:vAlign w:val="bottom"/>
            <w:vMerge w:val="continue"/>
            <w:shd w:val="clear" w:color="auto" w:fill="CCEEFF"/>
          </w:tcPr>
          <w:p>
            <w:pPr>
              <w:spacing w:after="0"/>
              <w:rPr>
                <w:sz w:val="10"/>
                <w:szCs w:val="10"/>
                <w:color w:val="auto"/>
              </w:rPr>
            </w:pPr>
          </w:p>
        </w:tc>
        <w:tc>
          <w:tcPr>
            <w:tcW w:w="90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81,062,483</w:t>
            </w:r>
          </w:p>
        </w:tc>
        <w:tc>
          <w:tcPr>
            <w:tcW w:w="12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68"/>
              <w:spacing w:after="0" w:line="119" w:lineRule="exact"/>
              <w:rPr>
                <w:sz w:val="20"/>
                <w:szCs w:val="20"/>
                <w:color w:val="auto"/>
              </w:rPr>
            </w:pPr>
            <w:r>
              <w:rPr>
                <w:rFonts w:ascii="Arial" w:cs="Arial" w:eastAsia="Arial" w:hAnsi="Arial"/>
                <w:sz w:val="13"/>
                <w:szCs w:val="13"/>
                <w:color w:val="auto"/>
              </w:rPr>
              <w:t>42.2%</w:t>
            </w:r>
          </w:p>
        </w:tc>
        <w:tc>
          <w:tcPr>
            <w:tcW w:w="90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95,336,208</w:t>
            </w:r>
          </w:p>
        </w:tc>
        <w:tc>
          <w:tcPr>
            <w:tcW w:w="10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48"/>
              <w:spacing w:after="0" w:line="119" w:lineRule="exact"/>
              <w:rPr>
                <w:sz w:val="20"/>
                <w:szCs w:val="20"/>
                <w:color w:val="auto"/>
              </w:rPr>
            </w:pPr>
            <w:r>
              <w:rPr>
                <w:rFonts w:ascii="Arial" w:cs="Arial" w:eastAsia="Arial" w:hAnsi="Arial"/>
                <w:sz w:val="13"/>
                <w:szCs w:val="13"/>
                <w:color w:val="auto"/>
              </w:rPr>
              <w:t>45.1%</w:t>
            </w:r>
          </w:p>
        </w:tc>
        <w:tc>
          <w:tcPr>
            <w:tcW w:w="1040" w:type="dxa"/>
            <w:vAlign w:val="bottom"/>
            <w:gridSpan w:val="2"/>
            <w:shd w:val="clear" w:color="auto" w:fill="CCEEFF"/>
          </w:tcPr>
          <w:p>
            <w:pPr>
              <w:jc w:val="right"/>
              <w:ind w:right="48"/>
              <w:spacing w:after="0" w:line="119" w:lineRule="exact"/>
              <w:rPr>
                <w:sz w:val="20"/>
                <w:szCs w:val="20"/>
                <w:color w:val="auto"/>
              </w:rPr>
            </w:pPr>
            <w:r>
              <w:rPr>
                <w:rFonts w:ascii="Arial" w:cs="Arial" w:eastAsia="Arial" w:hAnsi="Arial"/>
                <w:sz w:val="13"/>
                <w:szCs w:val="13"/>
                <w:color w:val="auto"/>
              </w:rPr>
              <w:t>17.6%</w:t>
            </w:r>
          </w:p>
        </w:tc>
        <w:tc>
          <w:tcPr>
            <w:tcW w:w="2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3"/>
                <w:szCs w:val="13"/>
                <w:color w:val="auto"/>
              </w:rPr>
              <w:t>94.6%</w:t>
            </w:r>
          </w:p>
        </w:tc>
        <w:tc>
          <w:tcPr>
            <w:tcW w:w="0" w:type="dxa"/>
            <w:vAlign w:val="bottom"/>
          </w:tcPr>
          <w:p>
            <w:pPr>
              <w:spacing w:after="0"/>
              <w:rPr>
                <w:sz w:val="1"/>
                <w:szCs w:val="1"/>
                <w:color w:val="auto"/>
              </w:rPr>
            </w:pPr>
          </w:p>
        </w:tc>
      </w:tr>
      <w:tr>
        <w:trPr>
          <w:trHeight w:val="153"/>
        </w:trPr>
        <w:tc>
          <w:tcPr>
            <w:tcW w:w="1000" w:type="dxa"/>
            <w:vAlign w:val="bottom"/>
            <w:shd w:val="clear" w:color="auto" w:fill="CCEEFF"/>
          </w:tcPr>
          <w:p>
            <w:pPr>
              <w:jc w:val="center"/>
              <w:spacing w:after="0" w:line="153" w:lineRule="exact"/>
              <w:rPr>
                <w:sz w:val="20"/>
                <w:szCs w:val="20"/>
                <w:color w:val="auto"/>
              </w:rPr>
            </w:pPr>
            <w:r>
              <w:rPr>
                <w:rFonts w:ascii="Arial" w:cs="Arial" w:eastAsia="Arial" w:hAnsi="Arial"/>
                <w:sz w:val="14"/>
                <w:szCs w:val="14"/>
                <w:b w:val="1"/>
                <w:bCs w:val="1"/>
                <w:color w:val="auto"/>
                <w:w w:val="85"/>
              </w:rPr>
              <w:t>channels</w:t>
            </w:r>
          </w:p>
        </w:tc>
        <w:tc>
          <w:tcPr>
            <w:tcW w:w="100" w:type="dxa"/>
            <w:vAlign w:val="bottom"/>
            <w:shd w:val="clear" w:color="auto" w:fill="CCEEFF"/>
          </w:tcPr>
          <w:p>
            <w:pPr>
              <w:spacing w:after="0"/>
              <w:rPr>
                <w:sz w:val="13"/>
                <w:szCs w:val="13"/>
                <w:color w:val="auto"/>
              </w:rPr>
            </w:pPr>
          </w:p>
        </w:tc>
        <w:tc>
          <w:tcPr>
            <w:tcW w:w="2180" w:type="dxa"/>
            <w:vAlign w:val="bottom"/>
            <w:gridSpan w:val="2"/>
            <w:shd w:val="clear" w:color="auto" w:fill="CCEEFF"/>
          </w:tcPr>
          <w:p>
            <w:pPr>
              <w:spacing w:after="0" w:line="153" w:lineRule="exact"/>
              <w:rPr>
                <w:sz w:val="20"/>
                <w:szCs w:val="20"/>
                <w:color w:val="auto"/>
              </w:rPr>
            </w:pPr>
            <w:r>
              <w:rPr>
                <w:rFonts w:ascii="Arial" w:cs="Arial" w:eastAsia="Arial" w:hAnsi="Arial"/>
                <w:sz w:val="14"/>
                <w:szCs w:val="14"/>
                <w:color w:val="auto"/>
              </w:rPr>
              <w:t>Internet banking Via BCP</w:t>
            </w:r>
          </w:p>
        </w:tc>
        <w:tc>
          <w:tcPr>
            <w:tcW w:w="92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19,605,889</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12.9%</w:t>
            </w:r>
          </w:p>
        </w:tc>
        <w:tc>
          <w:tcPr>
            <w:tcW w:w="98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16,150,532</w:t>
            </w:r>
          </w:p>
        </w:tc>
        <w:tc>
          <w:tcPr>
            <w:tcW w:w="1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68"/>
              <w:spacing w:after="0" w:line="153" w:lineRule="exact"/>
              <w:rPr>
                <w:sz w:val="20"/>
                <w:szCs w:val="20"/>
                <w:color w:val="auto"/>
              </w:rPr>
            </w:pPr>
            <w:r>
              <w:rPr>
                <w:rFonts w:ascii="Arial" w:cs="Arial" w:eastAsia="Arial" w:hAnsi="Arial"/>
                <w:sz w:val="14"/>
                <w:szCs w:val="14"/>
                <w:color w:val="auto"/>
              </w:rPr>
              <w:t>8.4%</w:t>
            </w:r>
          </w:p>
        </w:tc>
        <w:tc>
          <w:tcPr>
            <w:tcW w:w="90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16,371,635</w:t>
            </w: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8"/>
              <w:spacing w:after="0" w:line="153" w:lineRule="exact"/>
              <w:rPr>
                <w:sz w:val="20"/>
                <w:szCs w:val="20"/>
                <w:color w:val="auto"/>
              </w:rPr>
            </w:pPr>
            <w:r>
              <w:rPr>
                <w:rFonts w:ascii="Arial" w:cs="Arial" w:eastAsia="Arial" w:hAnsi="Arial"/>
                <w:sz w:val="14"/>
                <w:szCs w:val="14"/>
                <w:color w:val="auto"/>
              </w:rPr>
              <w:t>7.7%</w:t>
            </w:r>
          </w:p>
        </w:tc>
        <w:tc>
          <w:tcPr>
            <w:tcW w:w="1040" w:type="dxa"/>
            <w:vAlign w:val="bottom"/>
            <w:gridSpan w:val="2"/>
            <w:shd w:val="clear" w:color="auto" w:fill="CCEEFF"/>
          </w:tcPr>
          <w:p>
            <w:pPr>
              <w:jc w:val="right"/>
              <w:ind w:right="48"/>
              <w:spacing w:after="0" w:line="153" w:lineRule="exact"/>
              <w:rPr>
                <w:sz w:val="20"/>
                <w:szCs w:val="20"/>
                <w:color w:val="auto"/>
              </w:rPr>
            </w:pPr>
            <w:r>
              <w:rPr>
                <w:rFonts w:ascii="Arial" w:cs="Arial" w:eastAsia="Arial" w:hAnsi="Arial"/>
                <w:sz w:val="14"/>
                <w:szCs w:val="14"/>
                <w:color w:val="auto"/>
              </w:rPr>
              <w:t>1.4%</w:t>
            </w:r>
          </w:p>
        </w:tc>
        <w:tc>
          <w:tcPr>
            <w:tcW w:w="2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181"/>
        </w:trPr>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Balance inquiries</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1,569,552</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1,226,680</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0.6%</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1,342,920</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0.6%</w:t>
            </w:r>
          </w:p>
        </w:tc>
        <w:tc>
          <w:tcPr>
            <w:tcW w:w="10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9.5%</w:t>
            </w:r>
          </w:p>
        </w:tc>
        <w:tc>
          <w:tcPr>
            <w:tcW w:w="2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20"/>
        </w:trPr>
        <w:tc>
          <w:tcPr>
            <w:tcW w:w="1000" w:type="dxa"/>
            <w:vAlign w:val="bottom"/>
            <w:vMerge w:val="restart"/>
          </w:tcPr>
          <w:p>
            <w:pPr>
              <w:jc w:val="center"/>
              <w:spacing w:after="0" w:line="143" w:lineRule="exact"/>
              <w:rPr>
                <w:sz w:val="20"/>
                <w:szCs w:val="20"/>
                <w:color w:val="auto"/>
              </w:rPr>
            </w:pPr>
            <w:r>
              <w:rPr>
                <w:rFonts w:ascii="Arial" w:cs="Arial" w:eastAsia="Arial" w:hAnsi="Arial"/>
                <w:sz w:val="14"/>
                <w:szCs w:val="14"/>
                <w:b w:val="1"/>
                <w:bCs w:val="1"/>
                <w:color w:val="auto"/>
                <w:w w:val="97"/>
              </w:rPr>
              <w:t>Others</w:t>
            </w:r>
          </w:p>
        </w:tc>
        <w:tc>
          <w:tcPr>
            <w:tcW w:w="100" w:type="dxa"/>
            <w:vAlign w:val="bottom"/>
          </w:tcPr>
          <w:p>
            <w:pPr>
              <w:spacing w:after="0" w:line="20" w:lineRule="exact"/>
              <w:rPr>
                <w:sz w:val="1"/>
                <w:szCs w:val="1"/>
                <w:color w:val="auto"/>
              </w:rPr>
            </w:pPr>
          </w:p>
        </w:tc>
        <w:tc>
          <w:tcPr>
            <w:tcW w:w="2180" w:type="dxa"/>
            <w:vAlign w:val="bottom"/>
            <w:gridSpan w:val="2"/>
            <w:vMerge w:val="restart"/>
          </w:tcPr>
          <w:p>
            <w:pPr>
              <w:spacing w:after="0" w:line="143" w:lineRule="exact"/>
              <w:rPr>
                <w:sz w:val="20"/>
                <w:szCs w:val="20"/>
                <w:color w:val="auto"/>
              </w:rPr>
            </w:pPr>
            <w:r>
              <w:rPr>
                <w:rFonts w:ascii="Arial" w:cs="Arial" w:eastAsia="Arial" w:hAnsi="Arial"/>
                <w:sz w:val="14"/>
                <w:szCs w:val="14"/>
                <w:color w:val="auto"/>
              </w:rPr>
              <w:t>Telecrédito</w:t>
            </w:r>
          </w:p>
        </w:tc>
        <w:tc>
          <w:tcPr>
            <w:tcW w:w="9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0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180" w:type="dxa"/>
            <w:vAlign w:val="bottom"/>
            <w:gridSpan w:val="2"/>
            <w:vMerge w:val="continue"/>
          </w:tcPr>
          <w:p>
            <w:pPr>
              <w:spacing w:after="0"/>
              <w:rPr>
                <w:sz w:val="10"/>
                <w:szCs w:val="10"/>
                <w:color w:val="auto"/>
              </w:rPr>
            </w:pPr>
          </w:p>
        </w:tc>
        <w:tc>
          <w:tcPr>
            <w:tcW w:w="920" w:type="dxa"/>
            <w:vAlign w:val="bottom"/>
          </w:tcPr>
          <w:p>
            <w:pPr>
              <w:jc w:val="right"/>
              <w:spacing w:after="0" w:line="123" w:lineRule="exact"/>
              <w:rPr>
                <w:sz w:val="20"/>
                <w:szCs w:val="20"/>
                <w:color w:val="auto"/>
              </w:rPr>
            </w:pPr>
            <w:r>
              <w:rPr>
                <w:rFonts w:ascii="Arial" w:cs="Arial" w:eastAsia="Arial" w:hAnsi="Arial"/>
                <w:sz w:val="14"/>
                <w:szCs w:val="14"/>
                <w:color w:val="auto"/>
              </w:rPr>
              <w:t>11,343,966</w:t>
            </w:r>
          </w:p>
        </w:tc>
        <w:tc>
          <w:tcPr>
            <w:tcW w:w="100" w:type="dxa"/>
            <w:vAlign w:val="bottom"/>
            <w:vMerge w:val="continue"/>
          </w:tcPr>
          <w:p>
            <w:pPr>
              <w:spacing w:after="0"/>
              <w:rPr>
                <w:sz w:val="10"/>
                <w:szCs w:val="10"/>
                <w:color w:val="auto"/>
              </w:rPr>
            </w:pPr>
          </w:p>
        </w:tc>
        <w:tc>
          <w:tcPr>
            <w:tcW w:w="96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7.5%</w:t>
            </w:r>
          </w:p>
        </w:tc>
        <w:tc>
          <w:tcPr>
            <w:tcW w:w="80" w:type="dxa"/>
            <w:vAlign w:val="bottom"/>
            <w:vMerge w:val="continue"/>
          </w:tcPr>
          <w:p>
            <w:pPr>
              <w:spacing w:after="0"/>
              <w:rPr>
                <w:sz w:val="10"/>
                <w:szCs w:val="10"/>
                <w:color w:val="auto"/>
              </w:rPr>
            </w:pPr>
          </w:p>
        </w:tc>
        <w:tc>
          <w:tcPr>
            <w:tcW w:w="900" w:type="dxa"/>
            <w:vAlign w:val="bottom"/>
          </w:tcPr>
          <w:p>
            <w:pPr>
              <w:jc w:val="right"/>
              <w:spacing w:after="0" w:line="123" w:lineRule="exact"/>
              <w:rPr>
                <w:sz w:val="20"/>
                <w:szCs w:val="20"/>
                <w:color w:val="auto"/>
              </w:rPr>
            </w:pPr>
            <w:r>
              <w:rPr>
                <w:rFonts w:ascii="Arial" w:cs="Arial" w:eastAsia="Arial" w:hAnsi="Arial"/>
                <w:sz w:val="14"/>
                <w:szCs w:val="14"/>
                <w:color w:val="auto"/>
              </w:rPr>
              <w:t>11,785,008</w:t>
            </w:r>
          </w:p>
        </w:tc>
        <w:tc>
          <w:tcPr>
            <w:tcW w:w="120" w:type="dxa"/>
            <w:vAlign w:val="bottom"/>
            <w:vMerge w:val="continue"/>
          </w:tcPr>
          <w:p>
            <w:pPr>
              <w:spacing w:after="0"/>
              <w:rPr>
                <w:sz w:val="10"/>
                <w:szCs w:val="10"/>
                <w:color w:val="auto"/>
              </w:rPr>
            </w:pPr>
          </w:p>
        </w:tc>
        <w:tc>
          <w:tcPr>
            <w:tcW w:w="1040" w:type="dxa"/>
            <w:vAlign w:val="bottom"/>
            <w:gridSpan w:val="2"/>
          </w:tcPr>
          <w:p>
            <w:pPr>
              <w:jc w:val="right"/>
              <w:ind w:right="68"/>
              <w:spacing w:after="0" w:line="123" w:lineRule="exact"/>
              <w:rPr>
                <w:sz w:val="20"/>
                <w:szCs w:val="20"/>
                <w:color w:val="auto"/>
              </w:rPr>
            </w:pPr>
            <w:r>
              <w:rPr>
                <w:rFonts w:ascii="Arial" w:cs="Arial" w:eastAsia="Arial" w:hAnsi="Arial"/>
                <w:sz w:val="14"/>
                <w:szCs w:val="14"/>
                <w:color w:val="auto"/>
              </w:rPr>
              <w:t>6.1%</w:t>
            </w:r>
          </w:p>
        </w:tc>
        <w:tc>
          <w:tcPr>
            <w:tcW w:w="900" w:type="dxa"/>
            <w:vAlign w:val="bottom"/>
          </w:tcPr>
          <w:p>
            <w:pPr>
              <w:jc w:val="right"/>
              <w:spacing w:after="0" w:line="123" w:lineRule="exact"/>
              <w:rPr>
                <w:sz w:val="20"/>
                <w:szCs w:val="20"/>
                <w:color w:val="auto"/>
              </w:rPr>
            </w:pPr>
            <w:r>
              <w:rPr>
                <w:rFonts w:ascii="Arial" w:cs="Arial" w:eastAsia="Arial" w:hAnsi="Arial"/>
                <w:sz w:val="14"/>
                <w:szCs w:val="14"/>
                <w:color w:val="auto"/>
              </w:rPr>
              <w:t>12,536,785</w:t>
            </w:r>
          </w:p>
        </w:tc>
        <w:tc>
          <w:tcPr>
            <w:tcW w:w="100" w:type="dxa"/>
            <w:vAlign w:val="bottom"/>
          </w:tcPr>
          <w:p>
            <w:pPr>
              <w:spacing w:after="0"/>
              <w:rPr>
                <w:sz w:val="10"/>
                <w:szCs w:val="10"/>
                <w:color w:val="auto"/>
              </w:rPr>
            </w:pPr>
          </w:p>
        </w:tc>
        <w:tc>
          <w:tcPr>
            <w:tcW w:w="1040" w:type="dxa"/>
            <w:vAlign w:val="bottom"/>
            <w:gridSpan w:val="2"/>
          </w:tcPr>
          <w:p>
            <w:pPr>
              <w:jc w:val="right"/>
              <w:ind w:right="48"/>
              <w:spacing w:after="0" w:line="123" w:lineRule="exact"/>
              <w:rPr>
                <w:sz w:val="20"/>
                <w:szCs w:val="20"/>
                <w:color w:val="auto"/>
              </w:rPr>
            </w:pPr>
            <w:r>
              <w:rPr>
                <w:rFonts w:ascii="Arial" w:cs="Arial" w:eastAsia="Arial" w:hAnsi="Arial"/>
                <w:sz w:val="14"/>
                <w:szCs w:val="14"/>
                <w:color w:val="auto"/>
              </w:rPr>
              <w:t>5.9%</w:t>
            </w:r>
          </w:p>
        </w:tc>
        <w:tc>
          <w:tcPr>
            <w:tcW w:w="1040" w:type="dxa"/>
            <w:vAlign w:val="bottom"/>
            <w:gridSpan w:val="2"/>
          </w:tcPr>
          <w:p>
            <w:pPr>
              <w:jc w:val="right"/>
              <w:ind w:right="48"/>
              <w:spacing w:after="0" w:line="123" w:lineRule="exact"/>
              <w:rPr>
                <w:sz w:val="20"/>
                <w:szCs w:val="20"/>
                <w:color w:val="auto"/>
              </w:rPr>
            </w:pPr>
            <w:r>
              <w:rPr>
                <w:rFonts w:ascii="Arial" w:cs="Arial" w:eastAsia="Arial" w:hAnsi="Arial"/>
                <w:sz w:val="14"/>
                <w:szCs w:val="14"/>
                <w:color w:val="auto"/>
              </w:rPr>
              <w:t>6.4%</w:t>
            </w:r>
          </w:p>
        </w:tc>
        <w:tc>
          <w:tcPr>
            <w:tcW w:w="260" w:type="dxa"/>
            <w:vAlign w:val="bottom"/>
          </w:tcPr>
          <w:p>
            <w:pPr>
              <w:spacing w:after="0"/>
              <w:rPr>
                <w:sz w:val="10"/>
                <w:szCs w:val="10"/>
                <w:color w:val="auto"/>
              </w:rPr>
            </w:pPr>
          </w:p>
        </w:tc>
        <w:tc>
          <w:tcPr>
            <w:tcW w:w="68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Direct debit</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664,662</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0.4%</w:t>
            </w:r>
          </w:p>
        </w:tc>
        <w:tc>
          <w:tcPr>
            <w:tcW w:w="11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718,412</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0.4%</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837,254</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0.4%</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16.5%</w:t>
            </w:r>
          </w:p>
        </w:tc>
        <w:tc>
          <w:tcPr>
            <w:tcW w:w="2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Points of sale P.O.S.</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14,333,713</w:t>
            </w:r>
          </w:p>
        </w:tc>
        <w:tc>
          <w:tcPr>
            <w:tcW w:w="10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9.4%</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16,788,165</w:t>
            </w:r>
          </w:p>
        </w:tc>
        <w:tc>
          <w:tcPr>
            <w:tcW w:w="120" w:type="dxa"/>
            <w:vAlign w:val="bottom"/>
          </w:tcPr>
          <w:p>
            <w:pPr>
              <w:spacing w:after="0"/>
              <w:rPr>
                <w:sz w:val="12"/>
                <w:szCs w:val="12"/>
                <w:color w:val="auto"/>
              </w:rPr>
            </w:pP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8.7%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17,958,329</w:t>
            </w:r>
          </w:p>
        </w:tc>
        <w:tc>
          <w:tcPr>
            <w:tcW w:w="100" w:type="dxa"/>
            <w:vAlign w:val="bottom"/>
          </w:tcPr>
          <w:p>
            <w:pPr>
              <w:spacing w:after="0"/>
              <w:rPr>
                <w:sz w:val="12"/>
                <w:szCs w:val="12"/>
                <w:color w:val="auto"/>
              </w:rPr>
            </w:pP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8.5%</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7.0%</w:t>
            </w:r>
          </w:p>
        </w:tc>
        <w:tc>
          <w:tcPr>
            <w:tcW w:w="2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181"/>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2"/>
          </w:tcPr>
          <w:p>
            <w:pPr>
              <w:spacing w:after="0"/>
              <w:rPr>
                <w:sz w:val="20"/>
                <w:szCs w:val="20"/>
                <w:color w:val="auto"/>
              </w:rPr>
            </w:pPr>
            <w:r>
              <w:rPr>
                <w:rFonts w:ascii="Arial" w:cs="Arial" w:eastAsia="Arial" w:hAnsi="Arial"/>
                <w:sz w:val="14"/>
                <w:szCs w:val="14"/>
                <w:color w:val="auto"/>
              </w:rPr>
              <w:t>Other ATMs network</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215,688</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1100" w:type="dxa"/>
            <w:vAlign w:val="bottom"/>
            <w:gridSpan w:val="3"/>
          </w:tcPr>
          <w:p>
            <w:pPr>
              <w:jc w:val="right"/>
              <w:ind w:right="120"/>
              <w:spacing w:after="0"/>
              <w:rPr>
                <w:sz w:val="20"/>
                <w:szCs w:val="20"/>
                <w:color w:val="auto"/>
              </w:rPr>
            </w:pPr>
            <w:r>
              <w:rPr>
                <w:rFonts w:ascii="Arial" w:cs="Arial" w:eastAsia="Arial" w:hAnsi="Arial"/>
                <w:sz w:val="14"/>
                <w:szCs w:val="14"/>
                <w:color w:val="auto"/>
              </w:rPr>
              <w:t>223,279</w:t>
            </w:r>
          </w:p>
        </w:tc>
        <w:tc>
          <w:tcPr>
            <w:tcW w:w="1040" w:type="dxa"/>
            <w:vAlign w:val="bottom"/>
            <w:gridSpan w:val="2"/>
          </w:tcPr>
          <w:p>
            <w:pPr>
              <w:jc w:val="right"/>
              <w:ind w:right="68"/>
              <w:spacing w:after="0"/>
              <w:rPr>
                <w:sz w:val="20"/>
                <w:szCs w:val="20"/>
                <w:color w:val="auto"/>
              </w:rPr>
            </w:pPr>
            <w:r>
              <w:rPr>
                <w:rFonts w:ascii="Arial" w:cs="Arial" w:eastAsia="Arial" w:hAnsi="Arial"/>
                <w:sz w:val="14"/>
                <w:szCs w:val="14"/>
                <w:color w:val="auto"/>
              </w:rPr>
              <w:t>0.1%</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258,168</w:t>
            </w:r>
          </w:p>
        </w:tc>
        <w:tc>
          <w:tcPr>
            <w:tcW w:w="1040" w:type="dxa"/>
            <w:vAlign w:val="bottom"/>
            <w:gridSpan w:val="2"/>
          </w:tcPr>
          <w:p>
            <w:pPr>
              <w:jc w:val="right"/>
              <w:ind w:right="48"/>
              <w:spacing w:after="0"/>
              <w:rPr>
                <w:sz w:val="20"/>
                <w:szCs w:val="20"/>
                <w:color w:val="auto"/>
              </w:rPr>
            </w:pPr>
            <w:r>
              <w:rPr>
                <w:rFonts w:ascii="Arial" w:cs="Arial" w:eastAsia="Arial" w:hAnsi="Arial"/>
                <w:sz w:val="14"/>
                <w:szCs w:val="14"/>
                <w:color w:val="auto"/>
              </w:rPr>
              <w:t>0.1%</w:t>
            </w:r>
          </w:p>
        </w:tc>
        <w:tc>
          <w:tcPr>
            <w:tcW w:w="1040" w:type="dxa"/>
            <w:vAlign w:val="bottom"/>
            <w:gridSpan w:val="2"/>
          </w:tcPr>
          <w:p>
            <w:pPr>
              <w:jc w:val="right"/>
              <w:ind w:right="48"/>
              <w:spacing w:after="0"/>
              <w:rPr>
                <w:sz w:val="20"/>
                <w:szCs w:val="20"/>
                <w:color w:val="auto"/>
              </w:rPr>
            </w:pPr>
            <w:r>
              <w:rPr>
                <w:rFonts w:ascii="Arial" w:cs="Arial" w:eastAsia="Arial" w:hAnsi="Arial"/>
                <w:sz w:val="14"/>
                <w:szCs w:val="14"/>
                <w:color w:val="auto"/>
              </w:rPr>
              <w:t>15.6%</w:t>
            </w:r>
          </w:p>
        </w:tc>
        <w:tc>
          <w:tcPr>
            <w:tcW w:w="26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56"/>
        </w:trPr>
        <w:tc>
          <w:tcPr>
            <w:tcW w:w="10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180" w:type="dxa"/>
            <w:vAlign w:val="bottom"/>
            <w:tcBorders>
              <w:top w:val="single" w:sz="8" w:color="CCEEFF"/>
            </w:tcBorders>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transactions</w:t>
            </w:r>
          </w:p>
        </w:tc>
        <w:tc>
          <w:tcPr>
            <w:tcW w:w="9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151,959,261</w:t>
            </w: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100.0</w:t>
            </w:r>
          </w:p>
        </w:tc>
        <w:tc>
          <w:tcPr>
            <w:tcW w:w="180" w:type="dxa"/>
            <w:vAlign w:val="bottom"/>
            <w:tcBorders>
              <w:top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192,084,435</w:t>
            </w:r>
          </w:p>
        </w:tc>
        <w:tc>
          <w:tcPr>
            <w:tcW w:w="1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100.0</w:t>
            </w:r>
          </w:p>
        </w:tc>
        <w:tc>
          <w:tcPr>
            <w:tcW w:w="260" w:type="dxa"/>
            <w:vAlign w:val="bottom"/>
            <w:tcBorders>
              <w:top w:val="single" w:sz="8" w:color="CCEEFF"/>
            </w:tcBorders>
            <w:shd w:val="clear" w:color="auto" w:fill="CCEEFF"/>
          </w:tcPr>
          <w:p>
            <w:pPr>
              <w:jc w:val="right"/>
              <w:ind w:right="48"/>
              <w:spacing w:after="0" w:line="155" w:lineRule="exact"/>
              <w:rPr>
                <w:sz w:val="20"/>
                <w:szCs w:val="20"/>
                <w:color w:val="auto"/>
              </w:rPr>
            </w:pPr>
            <w:r>
              <w:rPr>
                <w:rFonts w:ascii="Arial" w:cs="Arial" w:eastAsia="Arial" w:hAnsi="Arial"/>
                <w:sz w:val="14"/>
                <w:szCs w:val="14"/>
                <w:b w:val="1"/>
                <w:bCs w:val="1"/>
                <w:color w:val="auto"/>
                <w:w w:val="96"/>
              </w:rPr>
              <w:t>%</w:t>
            </w:r>
          </w:p>
        </w:tc>
        <w:tc>
          <w:tcPr>
            <w:tcW w:w="9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211,602,391</w:t>
            </w:r>
          </w:p>
        </w:tc>
        <w:tc>
          <w:tcPr>
            <w:tcW w:w="1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100.0</w:t>
            </w:r>
          </w:p>
        </w:tc>
        <w:tc>
          <w:tcPr>
            <w:tcW w:w="240" w:type="dxa"/>
            <w:vAlign w:val="bottom"/>
            <w:tcBorders>
              <w:top w:val="single" w:sz="8" w:color="CCEEFF"/>
            </w:tcBorders>
            <w:shd w:val="clear" w:color="auto" w:fill="CCEEFF"/>
          </w:tcPr>
          <w:p>
            <w:pPr>
              <w:jc w:val="right"/>
              <w:ind w:right="28"/>
              <w:spacing w:after="0" w:line="155" w:lineRule="exact"/>
              <w:rPr>
                <w:sz w:val="20"/>
                <w:szCs w:val="20"/>
                <w:color w:val="auto"/>
              </w:rPr>
            </w:pPr>
            <w:r>
              <w:rPr>
                <w:rFonts w:ascii="Arial" w:cs="Arial" w:eastAsia="Arial" w:hAnsi="Arial"/>
                <w:sz w:val="14"/>
                <w:szCs w:val="14"/>
                <w:b w:val="1"/>
                <w:bCs w:val="1"/>
                <w:color w:val="auto"/>
                <w:w w:val="96"/>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10.2</w:t>
            </w:r>
          </w:p>
        </w:tc>
        <w:tc>
          <w:tcPr>
            <w:tcW w:w="240" w:type="dxa"/>
            <w:vAlign w:val="bottom"/>
            <w:tcBorders>
              <w:top w:val="single" w:sz="8" w:color="CCEEFF"/>
            </w:tcBorders>
            <w:shd w:val="clear" w:color="auto" w:fill="CCEEFF"/>
          </w:tcPr>
          <w:p>
            <w:pPr>
              <w:jc w:val="right"/>
              <w:ind w:right="28"/>
              <w:spacing w:after="0" w:line="155" w:lineRule="exact"/>
              <w:rPr>
                <w:sz w:val="20"/>
                <w:szCs w:val="20"/>
                <w:color w:val="auto"/>
              </w:rPr>
            </w:pPr>
            <w:r>
              <w:rPr>
                <w:rFonts w:ascii="Arial" w:cs="Arial" w:eastAsia="Arial" w:hAnsi="Arial"/>
                <w:sz w:val="14"/>
                <w:szCs w:val="14"/>
                <w:b w:val="1"/>
                <w:bCs w:val="1"/>
                <w:color w:val="auto"/>
                <w:w w:val="96"/>
              </w:rPr>
              <w:t>%</w:t>
            </w: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39.2</w:t>
            </w:r>
          </w:p>
        </w:tc>
        <w:tc>
          <w:tcPr>
            <w:tcW w:w="140" w:type="dxa"/>
            <w:vAlign w:val="bottom"/>
            <w:tcBorders>
              <w:top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Figures include monetary and non-monetary transactions.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line with the increase in points of contact, the monthly average of transactions increased +10.2% QoQ and +39.2% YoY. In the QoQ analysis, the increase in transactions was seen across channels with the exception of Tellers, which fell 0.4%. It is important to note that in 3Q19, the largest increase in volume was attributable to Mobile Banking (+17.6% QoQ), which has become one of the main axes of the strategy to migrate our clients to digital channels. This channel’s share of total transactions has continued to increase significantly and is currently situated at 45.1% of total transactions.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YoY analysis, which excludes the seasonal effect, registered an increase in the monthly transactions level that was mainly attributable to the increase in the volume generated by the following channels:</w:t>
      </w:r>
    </w:p>
    <w:p>
      <w:pPr>
        <w:spacing w:after="0" w:line="170" w:lineRule="exact"/>
        <w:rPr>
          <w:sz w:val="20"/>
          <w:szCs w:val="20"/>
          <w:color w:val="auto"/>
        </w:rPr>
      </w:pPr>
    </w:p>
    <w:p>
      <w:pPr>
        <w:ind w:left="900" w:hanging="509"/>
        <w:spacing w:after="0" w:line="277" w:lineRule="auto"/>
        <w:tabs>
          <w:tab w:leader="none" w:pos="962" w:val="left"/>
        </w:tabs>
        <w:numPr>
          <w:ilvl w:val="0"/>
          <w:numId w:val="78"/>
        </w:numPr>
        <w:rPr>
          <w:rFonts w:ascii="Arial" w:cs="Arial" w:eastAsia="Arial" w:hAnsi="Arial"/>
          <w:sz w:val="18"/>
          <w:szCs w:val="18"/>
          <w:color w:val="auto"/>
        </w:rPr>
      </w:pPr>
      <w:r>
        <w:rPr>
          <w:rFonts w:ascii="Arial" w:cs="Arial" w:eastAsia="Arial" w:hAnsi="Arial"/>
          <w:sz w:val="18"/>
          <w:szCs w:val="18"/>
          <w:color w:val="auto"/>
        </w:rPr>
        <w:t>Mobile Banking (+94.6% YoY), which continued to follow an upward trend in its share of total transactions after operating improvements were rolled out for the mobile application “Banca Móvil BCP”.</w:t>
      </w:r>
    </w:p>
    <w:p>
      <w:pPr>
        <w:spacing w:after="0" w:line="170" w:lineRule="exact"/>
        <w:rPr>
          <w:rFonts w:ascii="Arial" w:cs="Arial" w:eastAsia="Arial" w:hAnsi="Arial"/>
          <w:sz w:val="18"/>
          <w:szCs w:val="18"/>
          <w:color w:val="auto"/>
        </w:rPr>
      </w:pPr>
    </w:p>
    <w:p>
      <w:pPr>
        <w:jc w:val="both"/>
        <w:ind w:left="900" w:hanging="509"/>
        <w:spacing w:after="0" w:line="264" w:lineRule="auto"/>
        <w:tabs>
          <w:tab w:leader="none" w:pos="965" w:val="left"/>
        </w:tabs>
        <w:numPr>
          <w:ilvl w:val="0"/>
          <w:numId w:val="78"/>
        </w:numPr>
        <w:rPr>
          <w:rFonts w:ascii="Arial" w:cs="Arial" w:eastAsia="Arial" w:hAnsi="Arial"/>
          <w:sz w:val="18"/>
          <w:szCs w:val="18"/>
          <w:color w:val="auto"/>
        </w:rPr>
      </w:pPr>
      <w:r>
        <w:rPr>
          <w:rFonts w:ascii="Arial" w:cs="Arial" w:eastAsia="Arial" w:hAnsi="Arial"/>
          <w:sz w:val="18"/>
          <w:szCs w:val="18"/>
          <w:color w:val="auto"/>
        </w:rPr>
        <w:t>Agentes BCP (+26.1% YoY), which was mainly attributable to transactional growth in deposits and withdrawals. An increase was registered in this channel in domestic wire transfers, issuances, waivers and balance inquiries. The aforementioned was in line with growth in the number of savings accounts opened and in Agentes BCP (+40% YoY).</w:t>
      </w:r>
    </w:p>
    <w:p>
      <w:pPr>
        <w:spacing w:after="0" w:line="181" w:lineRule="exact"/>
        <w:rPr>
          <w:rFonts w:ascii="Arial" w:cs="Arial" w:eastAsia="Arial" w:hAnsi="Arial"/>
          <w:sz w:val="18"/>
          <w:szCs w:val="18"/>
          <w:color w:val="auto"/>
        </w:rPr>
      </w:pPr>
    </w:p>
    <w:p>
      <w:pPr>
        <w:ind w:left="900" w:hanging="509"/>
        <w:spacing w:after="0" w:line="277" w:lineRule="auto"/>
        <w:tabs>
          <w:tab w:leader="none" w:pos="1086" w:val="left"/>
        </w:tabs>
        <w:numPr>
          <w:ilvl w:val="0"/>
          <w:numId w:val="78"/>
        </w:numPr>
        <w:rPr>
          <w:rFonts w:ascii="Arial" w:cs="Arial" w:eastAsia="Arial" w:hAnsi="Arial"/>
          <w:sz w:val="18"/>
          <w:szCs w:val="18"/>
          <w:color w:val="auto"/>
        </w:rPr>
      </w:pPr>
      <w:r>
        <w:rPr>
          <w:rFonts w:ascii="Arial" w:cs="Arial" w:eastAsia="Arial" w:hAnsi="Arial"/>
          <w:sz w:val="18"/>
          <w:szCs w:val="18"/>
          <w:color w:val="auto"/>
        </w:rPr>
        <w:t>Points of sale P.O.S (+25.3% YoY), where the increase was driven mainly by growth in the penetration level of VISANET and in client consumption levels.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aforementioned three points offset the decrease in the transactions volume posted for Internet Banking Vía BCP (-16.5%), which continued to register a drop in its share of total transactions (7.7% 3Q19 vs 12.9% 3Q18). The transactions in traditional channels continued to fall YoY: (i) Tellers (-4.8%) and (ii) Telephone Banking (-1.9%) because multiple functions are available through mobile banking. Additionally, efforts continue to implement digital platforms at the Branch level so that clients can autonomously check balances, open savings accounts and collect debit cards.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Growth in banking’s transactional level in the region is expected to be driven primarily by digital channels. As such, growth in the transactions volume will be generated mainly by Mobile Banking and Internet Banking, in line with the objective to develop an efficient and profitable network of client service channels. It is important to note the increase in the use of the application Yape, which posted a level of 1.5 million users in 3Q19.</w:t>
      </w:r>
    </w:p>
    <w:p>
      <w:pPr>
        <w:spacing w:after="0" w:line="382"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r>
              <w:rPr>
                <w:rFonts w:ascii="Arial" w:cs="Arial" w:eastAsia="Arial" w:hAnsi="Arial"/>
                <w:sz w:val="18"/>
                <w:szCs w:val="18"/>
                <w:b w:val="1"/>
                <w:bCs w:val="1"/>
                <w:color w:val="auto"/>
              </w:rPr>
              <w:t>9.1.4. Points of Contact – BCP Bolivia</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27"/>
        </w:trPr>
        <w:tc>
          <w:tcPr>
            <w:tcW w:w="3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As of</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gridSpan w:val="5"/>
          </w:tcPr>
          <w:p>
            <w:pPr>
              <w:ind w:left="540"/>
              <w:spacing w:after="0"/>
              <w:rPr>
                <w:sz w:val="20"/>
                <w:szCs w:val="20"/>
                <w:color w:val="auto"/>
              </w:rPr>
            </w:pPr>
            <w:r>
              <w:rPr>
                <w:rFonts w:ascii="Arial" w:cs="Arial" w:eastAsia="Arial" w:hAnsi="Arial"/>
                <w:sz w:val="18"/>
                <w:szCs w:val="18"/>
                <w:b w:val="1"/>
                <w:bCs w:val="1"/>
                <w:color w:val="auto"/>
              </w:rPr>
              <w:t>change (units)</w:t>
            </w:r>
          </w:p>
        </w:tc>
      </w:tr>
      <w:tr>
        <w:trPr>
          <w:trHeight w:val="234"/>
        </w:trPr>
        <w:tc>
          <w:tcPr>
            <w:tcW w:w="3300" w:type="dxa"/>
            <w:vAlign w:val="bottom"/>
          </w:tcPr>
          <w:p>
            <w:pPr>
              <w:spacing w:after="0"/>
              <w:rPr>
                <w:sz w:val="20"/>
                <w:szCs w:val="20"/>
                <w:color w:val="auto"/>
              </w:rPr>
            </w:pPr>
          </w:p>
        </w:tc>
        <w:tc>
          <w:tcPr>
            <w:tcW w:w="1200" w:type="dxa"/>
            <w:vAlign w:val="bottom"/>
            <w:gridSpan w:val="2"/>
          </w:tcPr>
          <w:p>
            <w:pPr>
              <w:ind w:left="260"/>
              <w:spacing w:after="0"/>
              <w:rPr>
                <w:sz w:val="20"/>
                <w:szCs w:val="20"/>
                <w:color w:val="auto"/>
              </w:rPr>
            </w:pPr>
            <w:r>
              <w:rPr>
                <w:rFonts w:ascii="Arial" w:cs="Arial" w:eastAsia="Arial" w:hAnsi="Arial"/>
                <w:sz w:val="18"/>
                <w:szCs w:val="18"/>
                <w:b w:val="1"/>
                <w:bCs w:val="1"/>
                <w:color w:val="auto"/>
              </w:rPr>
              <w:t>Sep 18</w:t>
            </w: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Jun 19</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Sep 19</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QoQ</w:t>
            </w:r>
          </w:p>
        </w:tc>
        <w:tc>
          <w:tcPr>
            <w:tcW w:w="1060" w:type="dxa"/>
            <w:vAlign w:val="bottom"/>
            <w:gridSpan w:val="3"/>
          </w:tcPr>
          <w:p>
            <w:pPr>
              <w:ind w:left="320"/>
              <w:spacing w:after="0"/>
              <w:rPr>
                <w:sz w:val="20"/>
                <w:szCs w:val="20"/>
                <w:color w:val="auto"/>
              </w:rPr>
            </w:pPr>
            <w:r>
              <w:rPr>
                <w:rFonts w:ascii="Arial" w:cs="Arial" w:eastAsia="Arial" w:hAnsi="Arial"/>
                <w:sz w:val="18"/>
                <w:szCs w:val="18"/>
                <w:b w:val="1"/>
                <w:bCs w:val="1"/>
                <w:color w:val="auto"/>
              </w:rPr>
              <w:t>YoY</w:t>
            </w:r>
          </w:p>
        </w:tc>
      </w:tr>
      <w:tr>
        <w:trPr>
          <w:trHeight w:val="210"/>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Branches</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57"/>
        </w:trPr>
        <w:tc>
          <w:tcPr>
            <w:tcW w:w="3300" w:type="dxa"/>
            <w:vAlign w:val="bottom"/>
          </w:tcPr>
          <w:p>
            <w:pPr>
              <w:spacing w:after="0" w:line="256" w:lineRule="exact"/>
              <w:rPr>
                <w:sz w:val="20"/>
                <w:szCs w:val="20"/>
                <w:color w:val="auto"/>
              </w:rPr>
            </w:pPr>
            <w:r>
              <w:rPr>
                <w:rFonts w:ascii="Arial" w:cs="Arial" w:eastAsia="Arial" w:hAnsi="Arial"/>
                <w:sz w:val="18"/>
                <w:szCs w:val="18"/>
                <w:color w:val="auto"/>
              </w:rPr>
              <w:t>ATMs</w:t>
            </w:r>
            <w:r>
              <w:rPr>
                <w:rFonts w:ascii="Arial" w:cs="Arial" w:eastAsia="Arial" w:hAnsi="Arial"/>
                <w:sz w:val="29"/>
                <w:szCs w:val="29"/>
                <w:color w:val="auto"/>
                <w:vertAlign w:val="superscript"/>
              </w:rPr>
              <w:t>(1)</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278</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300</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303</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22"/>
                <w:szCs w:val="22"/>
                <w:color w:val="auto"/>
              </w:rPr>
            </w:pPr>
          </w:p>
        </w:tc>
      </w:tr>
      <w:tr>
        <w:trPr>
          <w:trHeight w:val="23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Agentes BCP Bolivia</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318</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388</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438</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c>
          <w:tcPr>
            <w:tcW w:w="60" w:type="dxa"/>
            <w:vAlign w:val="bottom"/>
            <w:shd w:val="clear" w:color="auto" w:fill="CCEEFF"/>
          </w:tcPr>
          <w:p>
            <w:pPr>
              <w:spacing w:after="0"/>
              <w:rPr>
                <w:sz w:val="19"/>
                <w:szCs w:val="19"/>
                <w:color w:val="auto"/>
              </w:rPr>
            </w:pPr>
          </w:p>
        </w:tc>
      </w:tr>
      <w:tr>
        <w:trPr>
          <w:trHeight w:val="223"/>
        </w:trPr>
        <w:tc>
          <w:tcPr>
            <w:tcW w:w="3300" w:type="dxa"/>
            <w:vAlign w:val="bottom"/>
          </w:tcPr>
          <w:p>
            <w:pPr>
              <w:spacing w:after="0"/>
              <w:rPr>
                <w:sz w:val="20"/>
                <w:szCs w:val="20"/>
                <w:color w:val="auto"/>
              </w:rPr>
            </w:pPr>
            <w:r>
              <w:rPr>
                <w:rFonts w:ascii="Arial" w:cs="Arial" w:eastAsia="Arial" w:hAnsi="Arial"/>
                <w:sz w:val="18"/>
                <w:szCs w:val="18"/>
                <w:b w:val="1"/>
                <w:bCs w:val="1"/>
                <w:color w:val="auto"/>
              </w:rPr>
              <w:t>Total Bolivia’s Network</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650</w:t>
            </w:r>
          </w:p>
        </w:tc>
        <w:tc>
          <w:tcPr>
            <w:tcW w:w="1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744</w:t>
            </w:r>
          </w:p>
        </w:tc>
        <w:tc>
          <w:tcPr>
            <w:tcW w:w="1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797</w:t>
            </w:r>
          </w:p>
        </w:tc>
        <w:tc>
          <w:tcPr>
            <w:tcW w:w="1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w:t>
            </w:r>
          </w:p>
        </w:tc>
        <w:tc>
          <w:tcPr>
            <w:tcW w:w="1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Figures differ than previously reported.</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BCP Bolivia has increased its number of points of contact (+53 QoQ) in 3Q19. This was driven by the entry of new Agentes BCP (+50 QoQ), in line with a growth strategy to open 450 Agentes by year-end.</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total number of points of contact continued to grow YoY (+147), which was primarily attributable to an increase in the number of Agentes BCP and, to a lesser extent through ATMs (+25) and branches (+2). ATMs growth was mainly attributable to the increase in branches. Besides, branch openings were essential to cover the growing unserved clients in the country. One of these branches was opened as a new format office called “Café BCP”, in which customers are within a digital and environment focused to achieve a better customer experience, in line with the banking products and services’ trends.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r>
              <w:rPr>
                <w:rFonts w:ascii="Arial" w:cs="Arial" w:eastAsia="Arial" w:hAnsi="Arial"/>
                <w:sz w:val="18"/>
                <w:szCs w:val="18"/>
                <w:b w:val="1"/>
                <w:bCs w:val="1"/>
                <w:color w:val="auto"/>
              </w:rPr>
              <w:t>9.2. Microfinance</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3300" w:type="dxa"/>
            <w:vAlign w:val="bottom"/>
          </w:tcPr>
          <w:p>
            <w:pPr>
              <w:spacing w:after="0"/>
              <w:rPr>
                <w:sz w:val="20"/>
                <w:szCs w:val="20"/>
                <w:color w:val="auto"/>
              </w:rPr>
            </w:pPr>
            <w:r>
              <w:rPr>
                <w:rFonts w:ascii="Arial" w:cs="Arial" w:eastAsia="Arial" w:hAnsi="Arial"/>
                <w:sz w:val="18"/>
                <w:szCs w:val="18"/>
                <w:b w:val="1"/>
                <w:bCs w:val="1"/>
                <w:color w:val="auto"/>
              </w:rPr>
              <w:t>9.2.1. Points of Contact – Mibanco</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7"/>
        </w:trPr>
        <w:tc>
          <w:tcPr>
            <w:tcW w:w="3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As of</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gridSpan w:val="4"/>
          </w:tcPr>
          <w:p>
            <w:pPr>
              <w:ind w:left="540"/>
              <w:spacing w:after="0"/>
              <w:rPr>
                <w:sz w:val="20"/>
                <w:szCs w:val="20"/>
                <w:color w:val="auto"/>
              </w:rPr>
            </w:pPr>
            <w:r>
              <w:rPr>
                <w:rFonts w:ascii="Arial" w:cs="Arial" w:eastAsia="Arial" w:hAnsi="Arial"/>
                <w:sz w:val="18"/>
                <w:szCs w:val="18"/>
                <w:b w:val="1"/>
                <w:bCs w:val="1"/>
                <w:color w:val="auto"/>
              </w:rPr>
              <w:t>change (units)</w:t>
            </w:r>
          </w:p>
        </w:tc>
      </w:tr>
      <w:tr>
        <w:trPr>
          <w:trHeight w:val="234"/>
        </w:trPr>
        <w:tc>
          <w:tcPr>
            <w:tcW w:w="33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Sep 18</w:t>
            </w:r>
          </w:p>
        </w:tc>
        <w:tc>
          <w:tcPr>
            <w:tcW w:w="18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Jun 19</w:t>
            </w:r>
          </w:p>
        </w:tc>
        <w:tc>
          <w:tcPr>
            <w:tcW w:w="18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Sep 19</w:t>
            </w:r>
          </w:p>
        </w:tc>
        <w:tc>
          <w:tcPr>
            <w:tcW w:w="1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QoQ</w:t>
            </w:r>
          </w:p>
        </w:tc>
        <w:tc>
          <w:tcPr>
            <w:tcW w:w="1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YoY</w:t>
            </w:r>
          </w:p>
        </w:tc>
        <w:tc>
          <w:tcPr>
            <w:tcW w:w="80" w:type="dxa"/>
            <w:vAlign w:val="bottom"/>
            <w:tcBorders>
              <w:bottom w:val="single" w:sz="8" w:color="CCEEFF"/>
            </w:tcBorders>
          </w:tcPr>
          <w:p>
            <w:pPr>
              <w:spacing w:after="0"/>
              <w:rPr>
                <w:sz w:val="20"/>
                <w:szCs w:val="20"/>
                <w:color w:val="auto"/>
              </w:rPr>
            </w:pPr>
          </w:p>
        </w:tc>
      </w:tr>
      <w:tr>
        <w:trPr>
          <w:trHeight w:val="237"/>
        </w:trPr>
        <w:tc>
          <w:tcPr>
            <w:tcW w:w="3300" w:type="dxa"/>
            <w:vAlign w:val="bottom"/>
            <w:shd w:val="clear" w:color="auto" w:fill="CCEEFF"/>
          </w:tcPr>
          <w:p>
            <w:pPr>
              <w:spacing w:after="0" w:line="236" w:lineRule="exact"/>
              <w:rPr>
                <w:sz w:val="20"/>
                <w:szCs w:val="20"/>
                <w:color w:val="auto"/>
              </w:rPr>
            </w:pPr>
            <w:r>
              <w:rPr>
                <w:rFonts w:ascii="Arial" w:cs="Arial" w:eastAsia="Arial" w:hAnsi="Arial"/>
                <w:sz w:val="17"/>
                <w:szCs w:val="17"/>
                <w:b w:val="1"/>
                <w:bCs w:val="1"/>
                <w:color w:val="auto"/>
              </w:rPr>
              <w:t xml:space="preserve">Total Mibanco’s Network </w:t>
            </w:r>
            <w:r>
              <w:rPr>
                <w:rFonts w:ascii="Arial" w:cs="Arial" w:eastAsia="Arial" w:hAnsi="Arial"/>
                <w:sz w:val="27"/>
                <w:szCs w:val="27"/>
                <w:color w:val="auto"/>
                <w:vertAlign w:val="superscript"/>
              </w:rPr>
              <w:t>(1)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326</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324</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324</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w:t>
            </w:r>
          </w:p>
        </w:tc>
      </w:tr>
      <w:tr>
        <w:trPr>
          <w:trHeight w:val="20"/>
        </w:trPr>
        <w:tc>
          <w:tcPr>
            <w:tcW w:w="3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Mibanco does not have Agents or ATMs because it uses the BCP network. Mibanco branches include Banco de la Nacion branches, which in Sep 18, Jun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19 and Set 19 were 38, 35 and 35 respectively.</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number of points of contact at Mibanco remained stable QoQ. In the YoY analysis a contraction of -2 points is evident. This was due to branch closings at the Banco de la Nacion. It is important to note that Mibanco has an agreement with Banco de la Nacion that allows it to use the latter’s branch space to reduce operating costs. At the end of 3Q19, these offices represented 11% (35 branches) of the total of 324 branches.</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10. Economic Perspectives</w:t>
            </w: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10.1. Peru Economic Forecasts</w:t>
            </w: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000" w:type="dxa"/>
            <w:vAlign w:val="bottom"/>
            <w:gridSpan w:val="2"/>
          </w:tcPr>
          <w:p>
            <w:pPr>
              <w:ind w:left="1760"/>
              <w:spacing w:after="0"/>
              <w:rPr>
                <w:sz w:val="20"/>
                <w:szCs w:val="20"/>
                <w:color w:val="auto"/>
              </w:rPr>
            </w:pPr>
            <w:r>
              <w:rPr>
                <w:rFonts w:ascii="Arial" w:cs="Arial" w:eastAsia="Arial" w:hAnsi="Arial"/>
                <w:sz w:val="18"/>
                <w:szCs w:val="18"/>
                <w:b w:val="1"/>
                <w:bCs w:val="1"/>
                <w:color w:val="auto"/>
              </w:rPr>
              <w:t>Peru</w:t>
            </w: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24"/>
                <w:szCs w:val="24"/>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4"/>
                <w:szCs w:val="24"/>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4"/>
                <w:szCs w:val="24"/>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4"/>
                <w:szCs w:val="24"/>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GDP (US$ Millions)</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191,323</w:t>
            </w: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194,653</w:t>
            </w: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214,397</w:t>
            </w: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225,364</w:t>
            </w: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224,000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Real GDP (% change)</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3.3</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4.0</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2.5</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4.0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GDP per capita (US$)</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6,132</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6,179</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6,742</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6,999</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6,892</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Domestic demand (% change)</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2.6</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1.4</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4.3</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consumption (% change)</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000" w:type="dxa"/>
            <w:vAlign w:val="bottom"/>
            <w:gridSpan w:val="2"/>
          </w:tcPr>
          <w:p>
            <w:pPr>
              <w:ind w:left="180"/>
              <w:spacing w:after="0"/>
              <w:rPr>
                <w:sz w:val="20"/>
                <w:szCs w:val="20"/>
                <w:color w:val="auto"/>
              </w:rPr>
            </w:pPr>
            <w:r>
              <w:rPr>
                <w:rFonts w:ascii="Arial" w:cs="Arial" w:eastAsia="Arial" w:hAnsi="Arial"/>
                <w:sz w:val="18"/>
                <w:szCs w:val="18"/>
                <w:color w:val="auto"/>
              </w:rPr>
              <w:t>Private Consumption (% change)</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4.0</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3.7</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2.6</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3.8</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fixed investment (as % GDP)</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23.7</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21.9</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20.5</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21.4</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4000" w:type="dxa"/>
            <w:vAlign w:val="bottom"/>
            <w:gridSpan w:val="2"/>
          </w:tcPr>
          <w:p>
            <w:pPr>
              <w:ind w:left="180"/>
              <w:spacing w:after="0"/>
              <w:rPr>
                <w:sz w:val="20"/>
                <w:szCs w:val="20"/>
                <w:color w:val="auto"/>
              </w:rPr>
            </w:pPr>
            <w:r>
              <w:rPr>
                <w:rFonts w:ascii="Arial" w:cs="Arial" w:eastAsia="Arial" w:hAnsi="Arial"/>
                <w:sz w:val="18"/>
                <w:szCs w:val="18"/>
                <w:color w:val="auto"/>
              </w:rPr>
              <w:t>Private Investment (% change)</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-4.2</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-5.4</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4.4</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Public Investment (% change)</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Public Debt (as % GDP)</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23.3</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23.9</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24.9</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25.7</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0"/>
        </w:trPr>
        <w:tc>
          <w:tcPr>
            <w:tcW w:w="400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System loan growth (% change)</w:t>
            </w:r>
            <w:r>
              <w:rPr>
                <w:rFonts w:ascii="Arial" w:cs="Arial" w:eastAsia="Arial" w:hAnsi="Arial"/>
                <w:sz w:val="30"/>
                <w:szCs w:val="30"/>
                <w:color w:val="auto"/>
                <w:vertAlign w:val="superscript"/>
              </w:rPr>
              <w:t>(1)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6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spacing w:after="0" w:line="269" w:lineRule="exact"/>
              <w:rPr>
                <w:sz w:val="20"/>
                <w:szCs w:val="20"/>
                <w:color w:val="auto"/>
              </w:rPr>
            </w:pPr>
            <w:r>
              <w:rPr>
                <w:rFonts w:ascii="Arial" w:cs="Arial" w:eastAsia="Arial" w:hAnsi="Arial"/>
                <w:sz w:val="18"/>
                <w:szCs w:val="18"/>
                <w:color w:val="auto"/>
              </w:rPr>
              <w:t>Inflation</w:t>
            </w:r>
            <w:r>
              <w:rPr>
                <w:rFonts w:ascii="Arial" w:cs="Arial" w:eastAsia="Arial" w:hAnsi="Arial"/>
                <w:sz w:val="30"/>
                <w:szCs w:val="30"/>
                <w:color w:val="auto"/>
                <w:vertAlign w:val="superscript"/>
              </w:rPr>
              <w:t>(2)</w:t>
            </w: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gridSpan w:val="2"/>
            <w:vMerge w:val="continue"/>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1"/>
                <w:szCs w:val="21"/>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2.2</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40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Reference Rate</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6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6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6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8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00" w:type="dxa"/>
            <w:vAlign w:val="bottom"/>
            <w:gridSpan w:val="2"/>
          </w:tcPr>
          <w:p>
            <w:pPr>
              <w:spacing w:after="0"/>
              <w:rPr>
                <w:sz w:val="20"/>
                <w:szCs w:val="20"/>
                <w:color w:val="auto"/>
              </w:rPr>
            </w:pPr>
            <w:r>
              <w:rPr>
                <w:rFonts w:ascii="Arial" w:cs="Arial" w:eastAsia="Arial" w:hAnsi="Arial"/>
                <w:sz w:val="18"/>
                <w:szCs w:val="18"/>
                <w:color w:val="auto"/>
              </w:rPr>
              <w:t>Exchange rate, end of period</w:t>
            </w:r>
          </w:p>
        </w:tc>
        <w:tc>
          <w:tcPr>
            <w:tcW w:w="1240" w:type="dxa"/>
            <w:vAlign w:val="bottom"/>
          </w:tcPr>
          <w:p>
            <w:pPr>
              <w:jc w:val="right"/>
              <w:spacing w:after="0"/>
              <w:rPr>
                <w:sz w:val="20"/>
                <w:szCs w:val="20"/>
                <w:color w:val="auto"/>
              </w:rPr>
            </w:pPr>
            <w:r>
              <w:rPr>
                <w:rFonts w:ascii="Arial" w:cs="Arial" w:eastAsia="Arial" w:hAnsi="Arial"/>
                <w:sz w:val="18"/>
                <w:szCs w:val="18"/>
                <w:color w:val="auto"/>
              </w:rPr>
              <w:t>3.41</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3.36</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3.24</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3.37</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3.35-3.40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rate, (% change)</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Fiscal balance (% GDP)</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6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6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6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8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balance (US$ Millions)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6,571</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7,049</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(As % GDP)</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Exports</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34,414</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37,082</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45,275</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48,942</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45,900</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Imports</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37,331</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35,128</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38,704</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41,893</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41,700</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account balance (US$ Millions)</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-9,169</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-5,303</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-2,537</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-3,349</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-4,928</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(As % GDP)</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international reserves (US$ Millions)</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61,485</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61,686</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63,621</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60,121</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68,800</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(As % GDP)</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32.1%</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31.7%</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29.7%</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26.7%</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months of imports)</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Estimates by BCP Economic Research as of October 2019; INEI, BCRP, and SBS.</w:t>
      </w:r>
    </w:p>
    <w:p>
      <w:pPr>
        <w:spacing w:after="0" w:line="23" w:lineRule="exact"/>
        <w:rPr>
          <w:sz w:val="20"/>
          <w:szCs w:val="20"/>
          <w:color w:val="auto"/>
        </w:rPr>
      </w:pPr>
    </w:p>
    <w:p>
      <w:pPr>
        <w:ind w:left="260" w:hanging="252"/>
        <w:spacing w:after="0"/>
        <w:tabs>
          <w:tab w:leader="none" w:pos="2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Financial System, Current Exchange Rate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Inflation target: 1% - 3%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10.2. Main Economic Variables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Economic Activity – GDP </w:t>
      </w:r>
      <w:r>
        <w:rPr>
          <w:rFonts w:ascii="Arial" w:cs="Arial" w:eastAsia="Arial" w:hAnsi="Arial"/>
          <w:sz w:val="18"/>
          <w:szCs w:val="18"/>
          <w:color w:val="auto"/>
        </w:rPr>
        <w:t>(% change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154940</wp:posOffset>
            </wp:positionV>
            <wp:extent cx="3310255" cy="18440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10255" cy="184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1" w:name="page52"/>
    <w:bookmarkEnd w:id="51"/>
    <w:p>
      <w:pPr>
        <w:jc w:val="both"/>
        <w:spacing w:after="0" w:line="257" w:lineRule="auto"/>
        <w:rPr>
          <w:sz w:val="20"/>
          <w:szCs w:val="20"/>
          <w:color w:val="auto"/>
        </w:rPr>
      </w:pPr>
      <w:r>
        <w:rPr>
          <w:rFonts w:ascii="Arial" w:cs="Arial" w:eastAsia="Arial" w:hAnsi="Arial"/>
          <w:sz w:val="18"/>
          <w:szCs w:val="18"/>
          <w:color w:val="auto"/>
        </w:rPr>
        <w:t>Our estimates suggest GDP grew around 3.3% YoY in 3Q19 (2Q19: 1.2%), the higher growth rate of the year. The performance of the quarter is explained by the recovery of the primary sectors, which expanded 2.5% YoY after the 4.2% YoY contraction on 2Q19. Particularly, primary resource manufacturing stood out (in Jul/Aug-19 it grew 10% YoY after a 18% YoY decline on 2Q19). On the other hand, non-primary sectors slightly accelerated to 3.4% YoY (2Q19: 2.9%). The expansion on non-primary sectors was underpinned by the advance of the services sectors (in Jul/Aug-19 they grew 3.8% YoY, similar to the 3.5% YoY expansion of the 2Q19).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Inflation and Monetary Policy rate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154940</wp:posOffset>
            </wp:positionV>
            <wp:extent cx="3567430" cy="20751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567430" cy="2075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Headline inflation closed 3Q19 at 1.9% YoY (2Q19: 2.3%) and stood below the midpoint of the target range of the Central Bank (1%-3%) for the first time in a year. On the other hand, core inflation stood at 2.2% YoY (2Q19: 2.3%); core inflation accumulates 1.68% for Jan/Sep-19 period, the lowest level for such period in seven years.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3Q19, the Central Bank lowered its reference rate in 25pbs from 2.75% to 2.50%, the first cut in year-and-a-half. After making the cut on August, the Central Bank claimed that “this decision doesn’t necessarily imply additional rate reductions”. However, this statement was then secluded from the official statement on later meetings. Hence, the Central Bank’s Board considered appropriate to maintain the expansive monetary policy stance, and it remains vigilant for new information regarding inflation and its determinants, to evaluate additional adjustments to its stance. It’s important to remark that in the Inflation Report of September 2019, the Central Bank highlighted a downside bias for its inflation forecast due to a potentially lower-than-expected-growth of domestic demand.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Fiscal Result and Current Account Balance </w:t>
      </w:r>
      <w:r>
        <w:rPr>
          <w:rFonts w:ascii="Arial" w:cs="Arial" w:eastAsia="Arial" w:hAnsi="Arial"/>
          <w:sz w:val="18"/>
          <w:szCs w:val="18"/>
          <w:color w:val="auto"/>
        </w:rPr>
        <w:t>(% of GDP,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154940</wp:posOffset>
            </wp:positionV>
            <wp:extent cx="3275965" cy="21355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75965" cy="213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3Q19 the annualized fiscal deficit represented 1.6% of GDP (2Q19: 1.5%), around its lowest level since 2015. The fiscal deficit remained relatively stable under a context of lower fiscal revenues (from 19.8% of GDP in 2Q19 to 19.6% in 3Q19) while the non-financial general government spending represented 20.0% of GDP (2Q19: 20.1%). In 3Q19, public investment of the general government decreased 4.4% YoY (2Q19: +7.9%), by which it declined 2.4% YTD.</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 w:name="page53"/>
    <w:bookmarkEnd w:id="52"/>
    <w:p>
      <w:pPr>
        <w:jc w:val="both"/>
        <w:spacing w:after="0" w:line="257" w:lineRule="auto"/>
        <w:rPr>
          <w:sz w:val="20"/>
          <w:szCs w:val="20"/>
          <w:color w:val="auto"/>
        </w:rPr>
      </w:pPr>
      <w:r>
        <w:rPr>
          <w:rFonts w:ascii="Arial" w:cs="Arial" w:eastAsia="Arial" w:hAnsi="Arial"/>
          <w:sz w:val="18"/>
          <w:szCs w:val="18"/>
          <w:color w:val="auto"/>
        </w:rPr>
        <w:t>In Jan/Aug-19, the trade balance adds up a surplus of USD 3,137 million, which is 34% below the same period of last year. Hence, exports decrease 6.8% YoY in the same period due to lower traditional exports (-9.9%, copper: -11.6%), while non-traditional exports advanced 1.9% YoY (agro-exports: +5.3%). It is worth noticing that the contraction of total exports so far this year is mainly explained by a price effect. In contrast, imports fell 2.1% YoY in the same period, although capital goods imports grew by 5.1% YoY. Lastly, on Aug-19, the terms of trade advanced 3.0% YoY after almost a year of consecutive contraction.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Exchange rate </w:t>
      </w:r>
      <w:r>
        <w:rPr>
          <w:rFonts w:ascii="Arial" w:cs="Arial" w:eastAsia="Arial" w:hAnsi="Arial"/>
          <w:sz w:val="18"/>
          <w:szCs w:val="18"/>
          <w:color w:val="auto"/>
        </w:rPr>
        <w:t>(S/ per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154940</wp:posOffset>
            </wp:positionV>
            <wp:extent cx="3302000" cy="18611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02000" cy="186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3Q19, the exchange rate closed at USDPEN 3.383, which means that the Peruvian Sol depreciated 2.9% compared to 2Q19 (USDPEN 3.287). In the third quarter of the year, periods of high volatility were observed due to the international environment amid trade tensions between US and the rest of the world, and to a lesser extent due to the local political context.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3Q19, all currencies of the region depreciated: Colombian Peso (8.3%), Brazilian Real (8.0%), Chilean Peso (7.4%) y Mexican Peso (2.7%). On other hand, during 3Q19 the Central Bank did not intervene in the spot FX market, and issued FX Swaps (short position in USD) for PEN 2,400 million during August (during August the exchange rate escalated up to USDPEN 3.40). Lastly, Net International Reserves (NIR) stood at USD 67,680 million, which implied an advanced of USD 1,347 million compared to 2Q19 and USD 7,739 million so far this year.</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color w:val="auto"/>
        </w:rPr>
        <w:t>Safe Harbor for Forward-Looking Statements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material includes “forward-looking statements” within the meaning of Section 21E of the Securities Exchange Act of 1934. All statements other than statements of historical information provided herein are forward-looking and may contain information about financial results, economic conditions, trends and known uncertainties. Forward-looking statements are neither historical facts nor assurances of future performance. Instead, they are based only on the Company’s current beliefs, expectations and assumptions regarding the future of our business, future plans and strategies, projections, anticipated events and trends, the economy and other future conditions.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Forward-looking statements can be identified by words such as: "anticipate”, "intend", "plan", "goal”, "seek”, "believe”, "project", "estimate”, "expect", "strategy”, "future”, "likely”, "may”, "should”, "will" and similar references to future periods. Examples of forward-looking statements include, among others, statements or estimates we make regarding guidance relating to Return on Average Equity, Sustainable Return on Average Equity, Cost of Risk, Loan growth, Efficiency ratio, BCP Stand-alone Common Equity Tier 1 Capital ratio and Net Interest Margin, current or future volatility in the credit markets and future market conditions, expected macroeconomic conditions, our belief that we have sufficient liquidity to fund our business operations during the next year, expectations of the effect on our financial condition of claims, litigation, environmental costs, contingent liabilities and governmental and regulatory investigations and proceedings, strategy for customer retention, growth, product development, market position, financial results and reserves and strategy for risk management.</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cautions readers that actual results could differ materially from those expected by the Company, depending on the outcome of certain factors, including, without limitation: (1) adverse changes in the Peruvian economy with respect to the rates of inflation, economic growth, currency devaluation, and other factors, (2) adverse changes in the Peruvian political situation, including, without limitation, the reversal of market-oriented reforms and economic recovery measures, or the failure of such measures and reforms to achieve their goals, and (3) adverse changes in the markets in which the Company operates, including increased competition, decreased demand for financial services, and other factors. Readers are cautioned not to place undue reliance on these forward-looking statements, which speak only as of the date hereof. Our actual results and financial condition may differ materially from those indicated in the forward-looking statements. Therefore, you should not rely on any of these forward-looking statements.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forward-looking statement made in this material is based only on information currently available to the Company and speaks only as of the date on which it is made. The Company undertakes no obligation to release publicly the result of any revisions to these forward-looking statements which may be made to reflect events or circumstances after the date hereof, including, without limitation, changes in the Company’s business strategy or planned capital expenditures, or to reflect the occurrence of unanticipated events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p>
      <w:pPr>
        <w:spacing w:after="0" w:line="62" w:lineRule="exact"/>
        <w:rPr>
          <w:sz w:val="20"/>
          <w:szCs w:val="20"/>
          <w:color w:val="auto"/>
        </w:rPr>
      </w:pPr>
    </w:p>
    <w:p>
      <w:pPr>
        <w:ind w:left="260" w:hanging="252"/>
        <w:spacing w:after="0"/>
        <w:tabs>
          <w:tab w:leader="none" w:pos="2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Appendix</w:t>
      </w:r>
    </w:p>
    <w:p>
      <w:pPr>
        <w:spacing w:after="0" w:line="225" w:lineRule="exact"/>
        <w:rPr>
          <w:rFonts w:ascii="Arial" w:cs="Arial" w:eastAsia="Arial" w:hAnsi="Arial"/>
          <w:sz w:val="18"/>
          <w:szCs w:val="18"/>
          <w:b w:val="1"/>
          <w:bCs w:val="1"/>
          <w:color w:val="auto"/>
        </w:rPr>
      </w:pPr>
    </w:p>
    <w:p>
      <w:pPr>
        <w:ind w:left="400" w:hanging="392"/>
        <w:spacing w:after="0"/>
        <w:tabs>
          <w:tab w:leader="none" w:pos="400" w:val="left"/>
        </w:tabs>
        <w:numPr>
          <w:ilvl w:val="0"/>
          <w:numId w:val="82"/>
        </w:numPr>
        <w:rPr>
          <w:rFonts w:ascii="Arial" w:cs="Arial" w:eastAsia="Arial" w:hAnsi="Arial"/>
          <w:sz w:val="17"/>
          <w:szCs w:val="17"/>
          <w:b w:val="1"/>
          <w:bCs w:val="1"/>
          <w:color w:val="auto"/>
        </w:rPr>
      </w:pPr>
      <w:r>
        <w:rPr>
          <w:rFonts w:ascii="Arial" w:cs="Arial" w:eastAsia="Arial" w:hAnsi="Arial"/>
          <w:sz w:val="17"/>
          <w:szCs w:val="17"/>
          <w:b w:val="1"/>
          <w:bCs w:val="1"/>
          <w:color w:val="auto"/>
        </w:rPr>
        <w:t>Credicorp</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FINANCIAL POSITION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As of</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3"/>
          </w:tcPr>
          <w:p>
            <w:pPr>
              <w:ind w:left="780"/>
              <w:spacing w:after="0"/>
              <w:rPr>
                <w:sz w:val="20"/>
                <w:szCs w:val="20"/>
                <w:color w:val="auto"/>
              </w:rPr>
            </w:pPr>
            <w:r>
              <w:rPr>
                <w:rFonts w:ascii="Arial" w:cs="Arial" w:eastAsia="Arial" w:hAnsi="Arial"/>
                <w:sz w:val="18"/>
                <w:szCs w:val="18"/>
                <w:b w:val="1"/>
                <w:bCs w:val="1"/>
                <w:color w:val="auto"/>
                <w:w w:val="95"/>
              </w:rPr>
              <w:t>% change</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Sep 2018</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Jun 2019</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Sep 2019</w:t>
            </w:r>
          </w:p>
        </w:tc>
        <w:tc>
          <w:tcPr>
            <w:tcW w:w="1600" w:type="dxa"/>
            <w:vAlign w:val="bottom"/>
            <w:gridSpan w:val="3"/>
          </w:tcPr>
          <w:p>
            <w:pPr>
              <w:ind w:left="320"/>
              <w:spacing w:after="0"/>
              <w:rPr>
                <w:sz w:val="20"/>
                <w:szCs w:val="20"/>
                <w:color w:val="auto"/>
              </w:rPr>
            </w:pPr>
            <w:r>
              <w:rPr>
                <w:rFonts w:ascii="Arial" w:cs="Arial" w:eastAsia="Arial" w:hAnsi="Arial"/>
                <w:sz w:val="18"/>
                <w:szCs w:val="18"/>
                <w:b w:val="1"/>
                <w:bCs w:val="1"/>
                <w:color w:val="auto"/>
              </w:rPr>
              <w:t>QoQ</w:t>
            </w:r>
          </w:p>
        </w:tc>
        <w:tc>
          <w:tcPr>
            <w:tcW w:w="9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00" w:type="dxa"/>
            <w:vAlign w:val="bottom"/>
          </w:tcPr>
          <w:p>
            <w:pPr>
              <w:spacing w:after="0" w:line="256" w:lineRule="exact"/>
              <w:rPr>
                <w:sz w:val="20"/>
                <w:szCs w:val="20"/>
                <w:color w:val="auto"/>
              </w:rPr>
            </w:pPr>
            <w:r>
              <w:rPr>
                <w:rFonts w:ascii="Arial" w:cs="Arial" w:eastAsia="Arial" w:hAnsi="Arial"/>
                <w:sz w:val="18"/>
                <w:szCs w:val="18"/>
                <w:b w:val="1"/>
                <w:bCs w:val="1"/>
                <w:color w:val="auto"/>
              </w:rPr>
              <w:t xml:space="preserve">Cash and due from banks </w:t>
            </w:r>
            <w:r>
              <w:rPr>
                <w:rFonts w:ascii="Arial" w:cs="Arial" w:eastAsia="Arial" w:hAnsi="Arial"/>
                <w:sz w:val="29"/>
                <w:szCs w:val="29"/>
                <w:b w:val="1"/>
                <w:bCs w:val="1"/>
                <w:color w:val="auto"/>
                <w:vertAlign w:val="superscript"/>
              </w:rPr>
              <w:t>(1)</w:t>
            </w: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Non-interest bearing</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6,790,095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6,350,168</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6,138,225</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Interest bearing</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13,426,449</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17,488,649</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20,258,177</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15.8%</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Total cash and due from banks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20,216,544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23,838,817</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26,396,402</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10.7%</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30.6%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00" w:type="dxa"/>
            <w:vAlign w:val="bottom"/>
          </w:tcPr>
          <w:p>
            <w:pPr>
              <w:spacing w:after="0" w:line="201" w:lineRule="exact"/>
              <w:rPr>
                <w:sz w:val="20"/>
                <w:szCs w:val="20"/>
                <w:color w:val="auto"/>
              </w:rPr>
            </w:pPr>
            <w:r>
              <w:rPr>
                <w:rFonts w:ascii="Arial" w:cs="Arial" w:eastAsia="Arial" w:hAnsi="Arial"/>
                <w:sz w:val="18"/>
                <w:szCs w:val="18"/>
                <w:color w:val="auto"/>
              </w:rPr>
              <w:t>Cash collateral, reverse repurchase agreements and securities</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borrowing</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4,447,783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4,445,749</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3,903,051</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-12.2%</w:t>
            </w:r>
          </w:p>
        </w:tc>
        <w:tc>
          <w:tcPr>
            <w:tcW w:w="28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Fair value through profit or loss investments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4,149,319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4,024,490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3,808,137</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Fair value through other comprehensive income investments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23,516,932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26,800,577</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26,794,192</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Amortized cost investments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4,106,966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3,589,360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3,353,898</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105,028,343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109,381,123</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112,209,990</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Current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101,839,950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106,095,844</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108,863,601</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Internal overdue loans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3,188,393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3,285,279</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3,346,389</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Less - allowance for loan losses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(4,920,319)</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(4,878,150)</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(4,977,809)</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Loans, net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100,108,024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104,502,973</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107,232,181</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2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Financial assets designated at fair value through profit or loss </w:t>
            </w:r>
            <w:r>
              <w:rPr>
                <w:rFonts w:ascii="Arial" w:cs="Arial" w:eastAsia="Arial" w:hAnsi="Arial"/>
                <w:sz w:val="29"/>
                <w:szCs w:val="29"/>
                <w:color w:val="auto"/>
                <w:vertAlign w:val="superscript"/>
              </w:rPr>
              <w:t>(2)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572,872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588,074</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617,387</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Accounts receivable from reinsurers and coinsurers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827,001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862,521</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779,961</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-9.6%</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Premiums and other policyholder receivables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741,316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884,572</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793,858</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00" w:type="dxa"/>
            <w:vAlign w:val="bottom"/>
          </w:tcPr>
          <w:p>
            <w:pPr>
              <w:spacing w:after="0" w:line="256" w:lineRule="exact"/>
              <w:rPr>
                <w:sz w:val="20"/>
                <w:szCs w:val="20"/>
                <w:color w:val="auto"/>
              </w:rPr>
            </w:pPr>
            <w:r>
              <w:rPr>
                <w:rFonts w:ascii="Arial" w:cs="Arial" w:eastAsia="Arial" w:hAnsi="Arial"/>
                <w:sz w:val="18"/>
                <w:szCs w:val="18"/>
                <w:color w:val="auto"/>
              </w:rPr>
              <w:t xml:space="preserve">Property, plant and equipment, net </w:t>
            </w:r>
            <w:r>
              <w:rPr>
                <w:rFonts w:ascii="Arial" w:cs="Arial" w:eastAsia="Arial" w:hAnsi="Arial"/>
                <w:sz w:val="29"/>
                <w:szCs w:val="29"/>
                <w:color w:val="auto"/>
                <w:vertAlign w:val="superscript"/>
              </w:rPr>
              <w:t>(3)</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1,423,095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2,918,795</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2,925,381</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22"/>
                <w:szCs w:val="22"/>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Due from customers on acceptances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969,702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534,637</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434,457</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00" w:type="dxa"/>
            <w:vAlign w:val="bottom"/>
          </w:tcPr>
          <w:p>
            <w:pPr>
              <w:spacing w:after="0" w:line="256" w:lineRule="exact"/>
              <w:rPr>
                <w:sz w:val="20"/>
                <w:szCs w:val="20"/>
                <w:color w:val="auto"/>
              </w:rPr>
            </w:pPr>
            <w:r>
              <w:rPr>
                <w:rFonts w:ascii="Arial" w:cs="Arial" w:eastAsia="Arial" w:hAnsi="Arial"/>
                <w:sz w:val="18"/>
                <w:szCs w:val="18"/>
                <w:color w:val="auto"/>
              </w:rPr>
              <w:t xml:space="preserve">Investments in associates </w:t>
            </w:r>
            <w:r>
              <w:rPr>
                <w:rFonts w:ascii="Arial" w:cs="Arial" w:eastAsia="Arial" w:hAnsi="Arial"/>
                <w:sz w:val="29"/>
                <w:szCs w:val="29"/>
                <w:color w:val="auto"/>
                <w:vertAlign w:val="superscript"/>
              </w:rPr>
              <w:t>(4)</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573,750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576,333</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603,487</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22"/>
                <w:szCs w:val="22"/>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and goodwill, net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2,010,544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2,061,611</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2,099,563</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00" w:type="dxa"/>
            <w:vAlign w:val="bottom"/>
          </w:tcPr>
          <w:p>
            <w:pPr>
              <w:spacing w:after="0" w:line="256" w:lineRule="exact"/>
              <w:rPr>
                <w:sz w:val="20"/>
                <w:szCs w:val="20"/>
                <w:color w:val="auto"/>
              </w:rPr>
            </w:pPr>
            <w:r>
              <w:rPr>
                <w:rFonts w:ascii="Arial" w:cs="Arial" w:eastAsia="Arial" w:hAnsi="Arial"/>
                <w:sz w:val="18"/>
                <w:szCs w:val="18"/>
                <w:color w:val="auto"/>
              </w:rPr>
              <w:t xml:space="preserve">Other assets </w:t>
            </w:r>
            <w:r>
              <w:rPr>
                <w:rFonts w:ascii="Arial" w:cs="Arial" w:eastAsia="Arial" w:hAnsi="Arial"/>
                <w:sz w:val="29"/>
                <w:szCs w:val="29"/>
                <w:color w:val="auto"/>
                <w:vertAlign w:val="superscript"/>
              </w:rPr>
              <w:t>(5)</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4,757,286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5,536,544</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6,562,316</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18.5%</w:t>
            </w:r>
          </w:p>
        </w:tc>
        <w:tc>
          <w:tcPr>
            <w:tcW w:w="280" w:type="dxa"/>
            <w:vAlign w:val="bottom"/>
          </w:tcPr>
          <w:p>
            <w:pPr>
              <w:spacing w:after="0"/>
              <w:rPr>
                <w:sz w:val="22"/>
                <w:szCs w:val="22"/>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jc w:val="center"/>
              <w:ind w:right="30"/>
              <w:spacing w:after="0"/>
              <w:rPr>
                <w:sz w:val="20"/>
                <w:szCs w:val="20"/>
                <w:color w:val="auto"/>
              </w:rPr>
            </w:pPr>
            <w:r>
              <w:rPr>
                <w:rFonts w:ascii="Arial" w:cs="Arial" w:eastAsia="Arial" w:hAnsi="Arial"/>
                <w:sz w:val="18"/>
                <w:szCs w:val="18"/>
                <w:b w:val="1"/>
                <w:bCs w:val="1"/>
                <w:color w:val="auto"/>
                <w:w w:val="85"/>
              </w:rPr>
              <w:t>Total Assets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168,421,134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181,165,053</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186,304,271</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2.8%</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Deposits and obligations</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Non-interest bearing</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24,975,666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25,339,482</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26,707,196</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bearing</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72,399,745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77,817,562</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80,684,524</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b w:val="1"/>
                <w:bCs w:val="1"/>
                <w:color w:val="auto"/>
              </w:rPr>
              <w:t>Total deposits and obligations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97,375,411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103,157,044</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107,391,720</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Payables from repurchase agreements and securities lending</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9,439,974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10,448,517</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7,684,690</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-26.5%</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BCRP instruments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4,851,806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6,304,186</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4,144,908</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-34.3%</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Repurchase agreements with third parties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2,739,630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2,455,665</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2,031,025</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-17.3%</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agreements with customers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1,848,538</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1,688,666</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1,508,757</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Due to banks and correspondents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7,509,183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9,222,278</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8,624,286</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Bonds and notes issued</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15,194,775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15,058,760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17,160,564</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14.0%</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Banker’s acceptances outstanding</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969,702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534,637</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434,457</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Reserves for property and casualty claims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1,340,913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1,525,832</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1,547,981</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Reserve for unearned premiums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6,834,070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7,412,792</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7,597,409</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Accounts payable to reinsurers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276,577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302,079</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220,731</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-26.9%</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Financial liabilities at fair value through profit or loss </w:t>
            </w:r>
            <w:r>
              <w:rPr>
                <w:rFonts w:ascii="Arial" w:cs="Arial" w:eastAsia="Arial" w:hAnsi="Arial"/>
                <w:sz w:val="29"/>
                <w:szCs w:val="29"/>
                <w:color w:val="auto"/>
                <w:vertAlign w:val="superscript"/>
              </w:rPr>
              <w:t>(6)</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685,416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548,367</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417,695</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w:t>
            </w:r>
          </w:p>
        </w:tc>
        <w:tc>
          <w:tcPr>
            <w:tcW w:w="28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Other liabilities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5,357,946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7,288,567</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8,764,594</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20.3%</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Total Liabilities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144,983,967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155,498,873</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159,844,127</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2.8%</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Net equity</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23,006,133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25,221,894</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26,000,638</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3.1%</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Capital stock</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1,318,993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1,318,993</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1,318,993</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Treasury stock</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(207,994)</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(207,839)</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(207,839)</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Capital surplus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249,398</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227,380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222,605</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Reserves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17,576,109</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19,423,324</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19,416,912</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and losses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899,547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1,541,235</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1,844,990</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Retained earnings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3,170,080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2,918,801</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3,404,977</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16.7%</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431,034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444,286</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459,506</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904" w:right="239" w:bottom="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900"/>
              <w:spacing w:after="0"/>
              <w:rPr>
                <w:sz w:val="20"/>
                <w:szCs w:val="20"/>
                <w:color w:val="auto"/>
              </w:rPr>
            </w:pPr>
            <w:r>
              <w:rPr>
                <w:rFonts w:ascii="Arial" w:cs="Arial" w:eastAsia="Arial" w:hAnsi="Arial"/>
                <w:sz w:val="18"/>
                <w:szCs w:val="18"/>
                <w:b w:val="1"/>
                <w:bCs w:val="1"/>
                <w:color w:val="auto"/>
              </w:rPr>
              <w:t>Total Net Equity</w:t>
            </w:r>
          </w:p>
        </w:tc>
        <w:tc>
          <w:tcPr>
            <w:tcW w:w="1980" w:type="dxa"/>
            <w:vAlign w:val="bottom"/>
          </w:tcPr>
          <w:p>
            <w:pPr>
              <w:jc w:val="right"/>
              <w:ind w:right="70"/>
              <w:spacing w:after="0"/>
              <w:rPr>
                <w:sz w:val="20"/>
                <w:szCs w:val="20"/>
                <w:color w:val="auto"/>
              </w:rPr>
            </w:pPr>
            <w:r>
              <w:rPr>
                <w:rFonts w:ascii="Arial" w:cs="Arial" w:eastAsia="Arial" w:hAnsi="Arial"/>
                <w:sz w:val="18"/>
                <w:szCs w:val="18"/>
                <w:b w:val="1"/>
                <w:bCs w:val="1"/>
                <w:color w:val="auto"/>
              </w:rPr>
              <w:t>23,437,167</w:t>
            </w: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rPr>
              <w:t>25,666,180</w:t>
            </w:r>
          </w:p>
        </w:tc>
        <w:tc>
          <w:tcPr>
            <w:tcW w:w="1580" w:type="dxa"/>
            <w:vAlign w:val="bottom"/>
          </w:tcPr>
          <w:p>
            <w:pPr>
              <w:jc w:val="right"/>
              <w:ind w:right="410"/>
              <w:spacing w:after="0"/>
              <w:rPr>
                <w:sz w:val="20"/>
                <w:szCs w:val="20"/>
                <w:color w:val="auto"/>
              </w:rPr>
            </w:pPr>
            <w:r>
              <w:rPr>
                <w:rFonts w:ascii="Arial" w:cs="Arial" w:eastAsia="Arial" w:hAnsi="Arial"/>
                <w:sz w:val="18"/>
                <w:szCs w:val="18"/>
                <w:b w:val="1"/>
                <w:bCs w:val="1"/>
                <w:color w:val="auto"/>
              </w:rPr>
              <w:t>26,460,144</w:t>
            </w:r>
          </w:p>
        </w:tc>
        <w:tc>
          <w:tcPr>
            <w:tcW w:w="1300" w:type="dxa"/>
            <w:vAlign w:val="bottom"/>
          </w:tcPr>
          <w:p>
            <w:pPr>
              <w:ind w:left="500"/>
              <w:spacing w:after="0"/>
              <w:rPr>
                <w:sz w:val="20"/>
                <w:szCs w:val="20"/>
                <w:color w:val="auto"/>
              </w:rPr>
            </w:pPr>
            <w:r>
              <w:rPr>
                <w:rFonts w:ascii="Arial" w:cs="Arial" w:eastAsia="Arial" w:hAnsi="Arial"/>
                <w:sz w:val="18"/>
                <w:szCs w:val="18"/>
                <w:b w:val="1"/>
                <w:bCs w:val="1"/>
                <w:color w:val="auto"/>
              </w:rPr>
              <w:t>3.1%</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b w:val="1"/>
                <w:bCs w:val="1"/>
                <w:color w:val="auto"/>
              </w:rPr>
              <w:t>Total liabilities and equity</w:t>
            </w:r>
          </w:p>
        </w:tc>
        <w:tc>
          <w:tcPr>
            <w:tcW w:w="1980" w:type="dxa"/>
            <w:vAlign w:val="bottom"/>
          </w:tcPr>
          <w:p>
            <w:pPr>
              <w:jc w:val="right"/>
              <w:ind w:right="70"/>
              <w:spacing w:after="0"/>
              <w:rPr>
                <w:sz w:val="20"/>
                <w:szCs w:val="20"/>
                <w:color w:val="auto"/>
              </w:rPr>
            </w:pPr>
            <w:r>
              <w:rPr>
                <w:rFonts w:ascii="Arial" w:cs="Arial" w:eastAsia="Arial" w:hAnsi="Arial"/>
                <w:sz w:val="18"/>
                <w:szCs w:val="18"/>
                <w:b w:val="1"/>
                <w:bCs w:val="1"/>
                <w:color w:val="auto"/>
              </w:rPr>
              <w:t>168,421,134</w:t>
            </w: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rPr>
              <w:t>181,165,053</w:t>
            </w:r>
          </w:p>
        </w:tc>
        <w:tc>
          <w:tcPr>
            <w:tcW w:w="1580" w:type="dxa"/>
            <w:vAlign w:val="bottom"/>
          </w:tcPr>
          <w:p>
            <w:pPr>
              <w:jc w:val="right"/>
              <w:ind w:right="410"/>
              <w:spacing w:after="0"/>
              <w:rPr>
                <w:sz w:val="20"/>
                <w:szCs w:val="20"/>
                <w:color w:val="auto"/>
              </w:rPr>
            </w:pPr>
            <w:r>
              <w:rPr>
                <w:rFonts w:ascii="Arial" w:cs="Arial" w:eastAsia="Arial" w:hAnsi="Arial"/>
                <w:sz w:val="18"/>
                <w:szCs w:val="18"/>
                <w:b w:val="1"/>
                <w:bCs w:val="1"/>
                <w:color w:val="auto"/>
              </w:rPr>
              <w:t>186,304,271</w:t>
            </w:r>
          </w:p>
        </w:tc>
        <w:tc>
          <w:tcPr>
            <w:tcW w:w="1300" w:type="dxa"/>
            <w:vAlign w:val="bottom"/>
          </w:tcPr>
          <w:p>
            <w:pPr>
              <w:ind w:left="500"/>
              <w:spacing w:after="0"/>
              <w:rPr>
                <w:sz w:val="20"/>
                <w:szCs w:val="20"/>
                <w:color w:val="auto"/>
              </w:rPr>
            </w:pPr>
            <w:r>
              <w:rPr>
                <w:rFonts w:ascii="Arial" w:cs="Arial" w:eastAsia="Arial" w:hAnsi="Arial"/>
                <w:sz w:val="18"/>
                <w:szCs w:val="18"/>
                <w:b w:val="1"/>
                <w:bCs w:val="1"/>
                <w:color w:val="auto"/>
              </w:rPr>
              <w:t>2.8%</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b w:val="1"/>
                <w:bCs w:val="1"/>
                <w:color w:val="auto"/>
              </w:rPr>
              <w:t>Off-balance sheet</w:t>
            </w:r>
          </w:p>
        </w:tc>
        <w:tc>
          <w:tcPr>
            <w:tcW w:w="1980" w:type="dxa"/>
            <w:vAlign w:val="bottom"/>
          </w:tcPr>
          <w:p>
            <w:pPr>
              <w:jc w:val="right"/>
              <w:ind w:right="70"/>
              <w:spacing w:after="0"/>
              <w:rPr>
                <w:sz w:val="20"/>
                <w:szCs w:val="20"/>
                <w:color w:val="auto"/>
              </w:rPr>
            </w:pPr>
            <w:r>
              <w:rPr>
                <w:rFonts w:ascii="Arial" w:cs="Arial" w:eastAsia="Arial" w:hAnsi="Arial"/>
                <w:sz w:val="18"/>
                <w:szCs w:val="18"/>
                <w:b w:val="1"/>
                <w:bCs w:val="1"/>
                <w:color w:val="auto"/>
              </w:rPr>
              <w:t>120,784,835</w:t>
            </w: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rPr>
              <w:t>125,418,778</w:t>
            </w:r>
          </w:p>
        </w:tc>
        <w:tc>
          <w:tcPr>
            <w:tcW w:w="1580" w:type="dxa"/>
            <w:vAlign w:val="bottom"/>
          </w:tcPr>
          <w:p>
            <w:pPr>
              <w:jc w:val="right"/>
              <w:ind w:right="410"/>
              <w:spacing w:after="0"/>
              <w:rPr>
                <w:sz w:val="20"/>
                <w:szCs w:val="20"/>
                <w:color w:val="auto"/>
              </w:rPr>
            </w:pPr>
            <w:r>
              <w:rPr>
                <w:rFonts w:ascii="Arial" w:cs="Arial" w:eastAsia="Arial" w:hAnsi="Arial"/>
                <w:sz w:val="18"/>
                <w:szCs w:val="18"/>
                <w:b w:val="1"/>
                <w:bCs w:val="1"/>
                <w:color w:val="auto"/>
              </w:rPr>
              <w:t>133,337,813</w:t>
            </w:r>
          </w:p>
        </w:tc>
        <w:tc>
          <w:tcPr>
            <w:tcW w:w="1300" w:type="dxa"/>
            <w:vAlign w:val="bottom"/>
          </w:tcPr>
          <w:p>
            <w:pPr>
              <w:ind w:left="500"/>
              <w:spacing w:after="0"/>
              <w:rPr>
                <w:sz w:val="20"/>
                <w:szCs w:val="20"/>
                <w:color w:val="auto"/>
              </w:rPr>
            </w:pPr>
            <w:r>
              <w:rPr>
                <w:rFonts w:ascii="Arial" w:cs="Arial" w:eastAsia="Arial" w:hAnsi="Arial"/>
                <w:sz w:val="18"/>
                <w:szCs w:val="18"/>
                <w:b w:val="1"/>
                <w:bCs w:val="1"/>
                <w:color w:val="auto"/>
              </w:rPr>
              <w:t>6.3%</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performance bonds, stand-by and L/Cs.</w:t>
            </w:r>
          </w:p>
        </w:tc>
        <w:tc>
          <w:tcPr>
            <w:tcW w:w="1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18,723,556</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19,666,170</w:t>
            </w:r>
          </w:p>
        </w:tc>
        <w:tc>
          <w:tcPr>
            <w:tcW w:w="15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20,416,414</w:t>
            </w:r>
          </w:p>
        </w:tc>
        <w:tc>
          <w:tcPr>
            <w:tcW w:w="1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3.8%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Undrawn credit lines, advised but not committed</w:t>
            </w:r>
          </w:p>
        </w:tc>
        <w:tc>
          <w:tcPr>
            <w:tcW w:w="1980" w:type="dxa"/>
            <w:vAlign w:val="bottom"/>
          </w:tcPr>
          <w:p>
            <w:pPr>
              <w:jc w:val="right"/>
              <w:ind w:right="70"/>
              <w:spacing w:after="0"/>
              <w:rPr>
                <w:sz w:val="20"/>
                <w:szCs w:val="20"/>
                <w:color w:val="auto"/>
              </w:rPr>
            </w:pPr>
            <w:r>
              <w:rPr>
                <w:rFonts w:ascii="Arial" w:cs="Arial" w:eastAsia="Arial" w:hAnsi="Arial"/>
                <w:sz w:val="18"/>
                <w:szCs w:val="18"/>
                <w:color w:val="auto"/>
              </w:rPr>
              <w:t>74,633,738</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76,368,545</w:t>
            </w:r>
          </w:p>
        </w:tc>
        <w:tc>
          <w:tcPr>
            <w:tcW w:w="1580" w:type="dxa"/>
            <w:vAlign w:val="bottom"/>
          </w:tcPr>
          <w:p>
            <w:pPr>
              <w:jc w:val="right"/>
              <w:ind w:right="410"/>
              <w:spacing w:after="0"/>
              <w:rPr>
                <w:sz w:val="20"/>
                <w:szCs w:val="20"/>
                <w:color w:val="auto"/>
              </w:rPr>
            </w:pPr>
            <w:r>
              <w:rPr>
                <w:rFonts w:ascii="Arial" w:cs="Arial" w:eastAsia="Arial" w:hAnsi="Arial"/>
                <w:sz w:val="18"/>
                <w:szCs w:val="18"/>
                <w:color w:val="auto"/>
              </w:rPr>
              <w:t>80,887,384</w:t>
            </w:r>
          </w:p>
        </w:tc>
        <w:tc>
          <w:tcPr>
            <w:tcW w:w="1300" w:type="dxa"/>
            <w:vAlign w:val="bottom"/>
          </w:tcPr>
          <w:p>
            <w:pPr>
              <w:ind w:left="500"/>
              <w:spacing w:after="0"/>
              <w:rPr>
                <w:sz w:val="20"/>
                <w:szCs w:val="20"/>
                <w:color w:val="auto"/>
              </w:rPr>
            </w:pPr>
            <w:r>
              <w:rPr>
                <w:rFonts w:ascii="Arial" w:cs="Arial" w:eastAsia="Arial" w:hAnsi="Arial"/>
                <w:sz w:val="18"/>
                <w:szCs w:val="18"/>
                <w:color w:val="auto"/>
              </w:rPr>
              <w:t>5.9%</w:t>
            </w:r>
          </w:p>
        </w:tc>
        <w:tc>
          <w:tcPr>
            <w:tcW w:w="92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 (notional) and others</w:t>
            </w:r>
          </w:p>
        </w:tc>
        <w:tc>
          <w:tcPr>
            <w:tcW w:w="1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27,427,541</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29,384,063</w:t>
            </w:r>
          </w:p>
        </w:tc>
        <w:tc>
          <w:tcPr>
            <w:tcW w:w="15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32,034,015</w:t>
            </w:r>
          </w:p>
        </w:tc>
        <w:tc>
          <w:tcPr>
            <w:tcW w:w="1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9.0%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8"/>
        <w:spacing w:after="0" w:line="291" w:lineRule="auto"/>
        <w:tabs>
          <w:tab w:leader="none" w:pos="263"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amounts differ from those previously reported in 2018 period, due to the reclassification to the item "Cash collateral, reverse repurchase agreements and securities borrowing" mainly for the cash collateral in dollars delivered to the BCRP, previously presented in the item "Cash and due from banks".</w:t>
      </w:r>
    </w:p>
    <w:p>
      <w:pPr>
        <w:ind w:right="20" w:firstLine="8"/>
        <w:spacing w:after="0" w:line="250" w:lineRule="auto"/>
        <w:tabs>
          <w:tab w:leader="none" w:pos="27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the 2019 period, this item was opened in the statement of financial position; previously presented under the item "Investments at fair value through profit or loss".</w:t>
      </w:r>
    </w:p>
    <w:p>
      <w:pPr>
        <w:jc w:val="both"/>
        <w:ind w:firstLine="8"/>
        <w:spacing w:after="0" w:line="250" w:lineRule="auto"/>
        <w:tabs>
          <w:tab w:leader="none" w:pos="2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amounts differ from those previously reported in 2018 period, due to the reclassification of the expenses on improvements in building for rent, previously presented in the item “Other assets”. Likewise, in the period 2019, the asset for the right to use the lease contracts was incorporated, in application of IFRS 16.</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Includes investments in associates, mainly Banmedica and Visanet, among others.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Includes mainly accounts receivables from brokerage and others.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the 2019 period, this item was opened in the statement of financial position; previously presented in the item "Other liabilities".</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Quarter</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tcPr>
          <w:p>
            <w:pPr>
              <w:ind w:left="460"/>
              <w:spacing w:after="0"/>
              <w:rPr>
                <w:sz w:val="20"/>
                <w:szCs w:val="20"/>
                <w:color w:val="auto"/>
              </w:rPr>
            </w:pPr>
            <w:r>
              <w:rPr>
                <w:rFonts w:ascii="Arial" w:cs="Arial" w:eastAsia="Arial" w:hAnsi="Arial"/>
                <w:sz w:val="14"/>
                <w:szCs w:val="14"/>
                <w:b w:val="1"/>
                <w:bCs w:val="1"/>
                <w:color w:val="auto"/>
                <w:w w:val="91"/>
              </w:rPr>
              <w:t>% change</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3"/>
          </w:tcPr>
          <w:p>
            <w:pPr>
              <w:ind w:left="700"/>
              <w:spacing w:after="0"/>
              <w:rPr>
                <w:sz w:val="20"/>
                <w:szCs w:val="20"/>
                <w:color w:val="auto"/>
              </w:rPr>
            </w:pPr>
            <w:r>
              <w:rPr>
                <w:rFonts w:ascii="Arial" w:cs="Arial" w:eastAsia="Arial" w:hAnsi="Arial"/>
                <w:sz w:val="14"/>
                <w:szCs w:val="14"/>
                <w:b w:val="1"/>
                <w:bCs w:val="1"/>
                <w:color w:val="auto"/>
              </w:rPr>
              <w:t>YTD</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3Q18</w:t>
            </w: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2Q19</w:t>
            </w: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3Q19</w:t>
            </w:r>
          </w:p>
        </w:tc>
        <w:tc>
          <w:tcPr>
            <w:tcW w:w="1080" w:type="dxa"/>
            <w:vAlign w:val="bottom"/>
            <w:gridSpan w:val="3"/>
          </w:tcPr>
          <w:p>
            <w:pPr>
              <w:ind w:left="160"/>
              <w:spacing w:after="0"/>
              <w:rPr>
                <w:sz w:val="20"/>
                <w:szCs w:val="20"/>
                <w:color w:val="auto"/>
              </w:rPr>
            </w:pPr>
            <w:r>
              <w:rPr>
                <w:rFonts w:ascii="Arial" w:cs="Arial" w:eastAsia="Arial" w:hAnsi="Arial"/>
                <w:sz w:val="14"/>
                <w:szCs w:val="14"/>
                <w:b w:val="1"/>
                <w:bCs w:val="1"/>
                <w:color w:val="auto"/>
              </w:rPr>
              <w:t>QoQ</w:t>
            </w:r>
          </w:p>
        </w:tc>
        <w:tc>
          <w:tcPr>
            <w:tcW w:w="7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5"/>
              </w:rPr>
              <w:t>YoY</w:t>
            </w:r>
          </w:p>
        </w:tc>
        <w:tc>
          <w:tcPr>
            <w:tcW w:w="1040" w:type="dxa"/>
            <w:vAlign w:val="bottom"/>
            <w:gridSpan w:val="3"/>
          </w:tcPr>
          <w:p>
            <w:pPr>
              <w:ind w:left="160"/>
              <w:spacing w:after="0"/>
              <w:rPr>
                <w:sz w:val="20"/>
                <w:szCs w:val="20"/>
                <w:color w:val="auto"/>
              </w:rPr>
            </w:pPr>
            <w:r>
              <w:rPr>
                <w:rFonts w:ascii="Arial" w:cs="Arial" w:eastAsia="Arial" w:hAnsi="Arial"/>
                <w:sz w:val="14"/>
                <w:szCs w:val="14"/>
                <w:b w:val="1"/>
                <w:bCs w:val="1"/>
                <w:color w:val="auto"/>
              </w:rPr>
              <w:t>Sep 18</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Sep 19</w:t>
            </w:r>
          </w:p>
        </w:tc>
        <w:tc>
          <w:tcPr>
            <w:tcW w:w="11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8"/>
              </w:rPr>
              <w:t>Sep 19 / Sep 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Interest income and expense</w:t>
            </w: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160"/>
              <w:spacing w:after="0" w:line="149" w:lineRule="exact"/>
              <w:rPr>
                <w:sz w:val="20"/>
                <w:szCs w:val="20"/>
                <w:color w:val="auto"/>
              </w:rPr>
            </w:pPr>
            <w:r>
              <w:rPr>
                <w:rFonts w:ascii="Arial" w:cs="Arial" w:eastAsia="Arial" w:hAnsi="Arial"/>
                <w:sz w:val="14"/>
                <w:szCs w:val="14"/>
                <w:color w:val="auto"/>
              </w:rPr>
              <w:t>Interest and dividend income</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2,887,326</w:t>
            </w:r>
          </w:p>
        </w:tc>
        <w:tc>
          <w:tcPr>
            <w:tcW w:w="22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3,083,623</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3,123,672</w:t>
            </w:r>
          </w:p>
        </w:tc>
        <w:tc>
          <w:tcPr>
            <w:tcW w:w="22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w:t>
            </w:r>
          </w:p>
        </w:tc>
        <w:tc>
          <w:tcPr>
            <w:tcW w:w="1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8.2%</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8,489,090</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9,208,969</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shd w:val="clear" w:color="auto" w:fill="CCEEFF"/>
          </w:tcPr>
          <w:p>
            <w:pPr>
              <w:ind w:left="160"/>
              <w:spacing w:after="0" w:line="189" w:lineRule="exact"/>
              <w:rPr>
                <w:sz w:val="20"/>
                <w:szCs w:val="20"/>
                <w:color w:val="auto"/>
              </w:rPr>
            </w:pPr>
            <w:r>
              <w:rPr>
                <w:rFonts w:ascii="Arial" w:cs="Arial" w:eastAsia="Arial" w:hAnsi="Arial"/>
                <w:sz w:val="13"/>
                <w:szCs w:val="13"/>
                <w:color w:val="auto"/>
              </w:rPr>
              <w:t xml:space="preserve">Interest expense </w:t>
            </w:r>
            <w:r>
              <w:rPr>
                <w:rFonts w:ascii="Arial" w:cs="Arial" w:eastAsia="Arial" w:hAnsi="Arial"/>
                <w:sz w:val="21"/>
                <w:szCs w:val="21"/>
                <w:color w:val="auto"/>
                <w:vertAlign w:val="superscript"/>
              </w:rPr>
              <w:t>(1)</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(748,193)</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(826,866)</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(846,288)</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2.3%</w:t>
            </w: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13.1%</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(2,244,238)</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4"/>
              </w:rPr>
              <w:t>(2,485,910)</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Net interest income</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2,139,133</w:t>
            </w:r>
          </w:p>
        </w:tc>
        <w:tc>
          <w:tcPr>
            <w:tcW w:w="22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2,256,757</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2,277,384</w:t>
            </w:r>
          </w:p>
        </w:tc>
        <w:tc>
          <w:tcPr>
            <w:tcW w:w="22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0.9%</w:t>
            </w:r>
          </w:p>
        </w:tc>
        <w:tc>
          <w:tcPr>
            <w:tcW w:w="1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6.5%</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6,244,852</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6,723,059</w:t>
            </w: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7.7%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color w:val="auto"/>
              </w:rPr>
              <w:t>Gross provision for credit losses on loan portfolio</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(511,710)</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(510,045)</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(568,034)</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11.4%</w:t>
            </w:r>
          </w:p>
        </w:tc>
        <w:tc>
          <w:tcPr>
            <w:tcW w:w="1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11.0%</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(1,335,714)</w:t>
            </w: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4"/>
              </w:rPr>
              <w:t>(1,531,364)</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Recoveries of written-off loans</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72,152</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61,751</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65,262</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5.7%</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-9.5%</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211,960</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197,087</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720" w:type="dxa"/>
            <w:vAlign w:val="bottom"/>
          </w:tcPr>
          <w:p>
            <w:pPr>
              <w:spacing w:after="0" w:line="126" w:lineRule="exact"/>
              <w:rPr>
                <w:sz w:val="20"/>
                <w:szCs w:val="20"/>
                <w:color w:val="auto"/>
              </w:rPr>
            </w:pPr>
            <w:r>
              <w:rPr>
                <w:rFonts w:ascii="Arial" w:cs="Arial" w:eastAsia="Arial" w:hAnsi="Arial"/>
                <w:sz w:val="14"/>
                <w:szCs w:val="14"/>
                <w:b w:val="1"/>
                <w:bCs w:val="1"/>
                <w:color w:val="auto"/>
              </w:rPr>
              <w:t>Provision for credit losses on loan portfolio, net of</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(439,558)</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(448,294)</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(502,772)</w:t>
            </w: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12.2%</w:t>
            </w:r>
          </w:p>
        </w:tc>
        <w:tc>
          <w:tcPr>
            <w:tcW w:w="180" w:type="dxa"/>
            <w:vAlign w:val="bottom"/>
          </w:tcPr>
          <w:p>
            <w:pPr>
              <w:spacing w:after="0"/>
              <w:rPr>
                <w:sz w:val="10"/>
                <w:szCs w:val="10"/>
                <w:color w:val="auto"/>
              </w:rPr>
            </w:pP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14.4%</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(1,123,754)</w:t>
            </w:r>
          </w:p>
        </w:tc>
        <w:tc>
          <w:tcPr>
            <w:tcW w:w="80" w:type="dxa"/>
            <w:vAlign w:val="bottom"/>
          </w:tcPr>
          <w:p>
            <w:pPr>
              <w:spacing w:after="0"/>
              <w:rPr>
                <w:sz w:val="10"/>
                <w:szCs w:val="10"/>
                <w:color w:val="auto"/>
              </w:rPr>
            </w:pPr>
          </w:p>
        </w:tc>
        <w:tc>
          <w:tcPr>
            <w:tcW w:w="7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4"/>
              </w:rPr>
              <w:t>(1,334,277)</w:t>
            </w:r>
          </w:p>
        </w:tc>
        <w:tc>
          <w:tcPr>
            <w:tcW w:w="11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18.7%</w:t>
            </w:r>
          </w:p>
        </w:tc>
        <w:tc>
          <w:tcPr>
            <w:tcW w:w="0" w:type="dxa"/>
            <w:vAlign w:val="bottom"/>
          </w:tcPr>
          <w:p>
            <w:pPr>
              <w:spacing w:after="0"/>
              <w:rPr>
                <w:sz w:val="1"/>
                <w:szCs w:val="1"/>
                <w:color w:val="auto"/>
              </w:rPr>
            </w:pPr>
          </w:p>
        </w:tc>
      </w:tr>
      <w:tr>
        <w:trPr>
          <w:trHeight w:val="171"/>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recoveries</w:t>
            </w:r>
          </w:p>
        </w:tc>
        <w:tc>
          <w:tcPr>
            <w:tcW w:w="9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b w:val="1"/>
                <w:bCs w:val="1"/>
                <w:color w:val="auto"/>
              </w:rPr>
              <w:t>Risk-adjusted net interest income</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1,699,575</w:t>
            </w:r>
          </w:p>
        </w:tc>
        <w:tc>
          <w:tcPr>
            <w:tcW w:w="22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1,808,463</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1,774,612</w:t>
            </w:r>
          </w:p>
        </w:tc>
        <w:tc>
          <w:tcPr>
            <w:tcW w:w="22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-1.9%</w:t>
            </w:r>
          </w:p>
        </w:tc>
        <w:tc>
          <w:tcPr>
            <w:tcW w:w="1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4.4%</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5,121,098</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5,388,782</w:t>
            </w: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5.2%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b w:val="1"/>
                <w:bCs w:val="1"/>
                <w:color w:val="auto"/>
              </w:rPr>
              <w:t>Non-financial income</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Fee income</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773,529</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787,250</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815,403</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3.6%</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5.4%</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2,290,215</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2,385,575</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160"/>
              <w:spacing w:after="0" w:line="149" w:lineRule="exact"/>
              <w:rPr>
                <w:sz w:val="20"/>
                <w:szCs w:val="20"/>
                <w:color w:val="auto"/>
              </w:rPr>
            </w:pPr>
            <w:r>
              <w:rPr>
                <w:rFonts w:ascii="Arial" w:cs="Arial" w:eastAsia="Arial" w:hAnsi="Arial"/>
                <w:sz w:val="14"/>
                <w:szCs w:val="14"/>
                <w:color w:val="auto"/>
              </w:rPr>
              <w:t>Net gain on foreign exchange transactions</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182,777</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188,358</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188,073</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-0.2%</w:t>
            </w:r>
          </w:p>
        </w:tc>
        <w:tc>
          <w:tcPr>
            <w:tcW w:w="1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525,741</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554,854</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shd w:val="clear" w:color="auto" w:fill="CCEEFF"/>
          </w:tcPr>
          <w:p>
            <w:pPr>
              <w:ind w:left="160"/>
              <w:spacing w:after="0" w:line="189" w:lineRule="exact"/>
              <w:rPr>
                <w:sz w:val="20"/>
                <w:szCs w:val="20"/>
                <w:color w:val="auto"/>
              </w:rPr>
            </w:pPr>
            <w:r>
              <w:rPr>
                <w:rFonts w:ascii="Arial" w:cs="Arial" w:eastAsia="Arial" w:hAnsi="Arial"/>
                <w:sz w:val="13"/>
                <w:szCs w:val="13"/>
                <w:color w:val="auto"/>
              </w:rPr>
              <w:t xml:space="preserve">Net gain on sales of securities </w:t>
            </w:r>
            <w:r>
              <w:rPr>
                <w:rFonts w:ascii="Arial" w:cs="Arial" w:eastAsia="Arial" w:hAnsi="Arial"/>
                <w:sz w:val="21"/>
                <w:szCs w:val="21"/>
                <w:color w:val="auto"/>
                <w:vertAlign w:val="superscript"/>
              </w:rPr>
              <w:t>(2)</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50,192</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100,987</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150,427</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49.0%</w:t>
            </w: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199.7%</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123,436</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364,959</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195.7%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tcPr>
          <w:p>
            <w:pPr>
              <w:ind w:left="160"/>
              <w:spacing w:after="0" w:line="189" w:lineRule="exact"/>
              <w:rPr>
                <w:sz w:val="20"/>
                <w:szCs w:val="20"/>
                <w:color w:val="auto"/>
              </w:rPr>
            </w:pPr>
            <w:r>
              <w:rPr>
                <w:rFonts w:ascii="Arial" w:cs="Arial" w:eastAsia="Arial" w:hAnsi="Arial"/>
                <w:sz w:val="13"/>
                <w:szCs w:val="13"/>
                <w:color w:val="auto"/>
              </w:rPr>
              <w:t xml:space="preserve">Net gain from associates </w:t>
            </w:r>
            <w:r>
              <w:rPr>
                <w:rFonts w:ascii="Arial" w:cs="Arial" w:eastAsia="Arial" w:hAnsi="Arial"/>
                <w:sz w:val="21"/>
                <w:szCs w:val="21"/>
                <w:color w:val="auto"/>
                <w:vertAlign w:val="superscript"/>
              </w:rPr>
              <w:t>(2)(3)</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15,698</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20,478</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21,842</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6.7%</w:t>
            </w:r>
          </w:p>
        </w:tc>
        <w:tc>
          <w:tcPr>
            <w:tcW w:w="1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39.1%</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53,410</w:t>
            </w:r>
          </w:p>
        </w:tc>
        <w:tc>
          <w:tcPr>
            <w:tcW w:w="8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57,106</w:t>
            </w:r>
          </w:p>
        </w:tc>
        <w:tc>
          <w:tcPr>
            <w:tcW w:w="1160" w:type="dxa"/>
            <w:vAlign w:val="bottom"/>
            <w:gridSpan w:val="3"/>
          </w:tcPr>
          <w:p>
            <w:pPr>
              <w:jc w:val="right"/>
              <w:ind w:right="20"/>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Net gain on derivatives held for trading</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674</w:t>
            </w: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(724)</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2,158</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398.1%</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220.2%</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14,959</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(1,000)</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160"/>
              <w:spacing w:after="0" w:line="149" w:lineRule="exact"/>
              <w:rPr>
                <w:sz w:val="20"/>
                <w:szCs w:val="20"/>
                <w:color w:val="auto"/>
              </w:rPr>
            </w:pPr>
            <w:r>
              <w:rPr>
                <w:rFonts w:ascii="Arial" w:cs="Arial" w:eastAsia="Arial" w:hAnsi="Arial"/>
                <w:sz w:val="14"/>
                <w:szCs w:val="14"/>
                <w:color w:val="auto"/>
              </w:rPr>
              <w:t>Net gain from exchange differences</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8,834</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(3,603)</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(1,964)</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45.5%</w:t>
            </w:r>
          </w:p>
        </w:tc>
        <w:tc>
          <w:tcPr>
            <w:tcW w:w="1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-122.2%</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15,754</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2,093</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-86.7%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Other non-financial income</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67,174</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98,703</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94,647</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-4.1%</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40.9%</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234,059</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268,955</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Total non-financial income</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1,098,878</w:t>
            </w:r>
          </w:p>
        </w:tc>
        <w:tc>
          <w:tcPr>
            <w:tcW w:w="22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1,191,449</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1,270,586</w:t>
            </w:r>
          </w:p>
        </w:tc>
        <w:tc>
          <w:tcPr>
            <w:tcW w:w="22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6.6%</w:t>
            </w:r>
          </w:p>
        </w:tc>
        <w:tc>
          <w:tcPr>
            <w:tcW w:w="1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15.6%</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3,257,574</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3,632,542</w:t>
            </w: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11.5%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b w:val="1"/>
                <w:bCs w:val="1"/>
                <w:color w:val="auto"/>
              </w:rPr>
              <w:t>Insurance underwriting result</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Net earned premiums</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536,277</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590,066</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612,534</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3.8%</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14.2%</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1,556,984</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1,789,756</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160"/>
              <w:spacing w:after="0" w:line="149" w:lineRule="exact"/>
              <w:rPr>
                <w:sz w:val="20"/>
                <w:szCs w:val="20"/>
                <w:color w:val="auto"/>
              </w:rPr>
            </w:pPr>
            <w:r>
              <w:rPr>
                <w:rFonts w:ascii="Arial" w:cs="Arial" w:eastAsia="Arial" w:hAnsi="Arial"/>
                <w:sz w:val="14"/>
                <w:szCs w:val="14"/>
                <w:color w:val="auto"/>
              </w:rPr>
              <w:t>Net claims</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(318,644)</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(379,718)</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(392,520)</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3.4%</w:t>
            </w:r>
          </w:p>
        </w:tc>
        <w:tc>
          <w:tcPr>
            <w:tcW w:w="1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23.2%</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(914,234)</w:t>
            </w: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4"/>
              </w:rPr>
              <w:t>(1,158,759)</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Acquisition cost</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(96,382)</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(91,666)</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(94,239)</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2.8%</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(292,486)</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(277,186)</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Total insurance underwriting result</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121,251</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118,682</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125,775</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6.0%</w:t>
            </w:r>
          </w:p>
        </w:tc>
        <w:tc>
          <w:tcPr>
            <w:tcW w:w="1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3.7%</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350,264</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353,811</w:t>
            </w: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b w:val="1"/>
                <w:bCs w:val="1"/>
                <w:color w:val="auto"/>
              </w:rPr>
              <w:t>Total expenses</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Salaries and employee benefits</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(794,634)</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(845,835)</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(845,345)</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-0.1%</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6.4%</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(2,352,806)</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(2,525,497)</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160"/>
              <w:spacing w:after="0" w:line="149" w:lineRule="exact"/>
              <w:rPr>
                <w:sz w:val="20"/>
                <w:szCs w:val="20"/>
                <w:color w:val="auto"/>
              </w:rPr>
            </w:pPr>
            <w:r>
              <w:rPr>
                <w:rFonts w:ascii="Arial" w:cs="Arial" w:eastAsia="Arial" w:hAnsi="Arial"/>
                <w:sz w:val="14"/>
                <w:szCs w:val="14"/>
                <w:color w:val="auto"/>
              </w:rPr>
              <w:t>Administrative, general and tax expenses</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(590,491)</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(531,336)</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(560,780)</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5.5%</w:t>
            </w:r>
          </w:p>
        </w:tc>
        <w:tc>
          <w:tcPr>
            <w:tcW w:w="1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-5.0%</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(1,647,927)</w:t>
            </w: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4"/>
              </w:rPr>
              <w:t>(1,605,257)</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shd w:val="clear" w:color="auto" w:fill="CCEEFF"/>
          </w:tcPr>
          <w:p>
            <w:pPr>
              <w:ind w:left="160"/>
              <w:spacing w:after="0" w:line="189" w:lineRule="exact"/>
              <w:rPr>
                <w:sz w:val="20"/>
                <w:szCs w:val="20"/>
                <w:color w:val="auto"/>
              </w:rPr>
            </w:pPr>
            <w:r>
              <w:rPr>
                <w:rFonts w:ascii="Arial" w:cs="Arial" w:eastAsia="Arial" w:hAnsi="Arial"/>
                <w:sz w:val="13"/>
                <w:szCs w:val="13"/>
                <w:color w:val="auto"/>
              </w:rPr>
              <w:t xml:space="preserve">Depreciation and amortization </w:t>
            </w:r>
            <w:r>
              <w:rPr>
                <w:rFonts w:ascii="Arial" w:cs="Arial" w:eastAsia="Arial" w:hAnsi="Arial"/>
                <w:sz w:val="21"/>
                <w:szCs w:val="21"/>
                <w:color w:val="auto"/>
                <w:vertAlign w:val="superscript"/>
              </w:rPr>
              <w:t>(4)</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(105,517)</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(180,381)</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(185,574)</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2.9%</w:t>
            </w: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75.9%</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(318,710)</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(506,652)</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59.0%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tcPr>
          <w:p>
            <w:pPr>
              <w:ind w:left="160"/>
              <w:spacing w:after="0" w:line="189" w:lineRule="exact"/>
              <w:rPr>
                <w:sz w:val="20"/>
                <w:szCs w:val="20"/>
                <w:color w:val="auto"/>
              </w:rPr>
            </w:pPr>
            <w:r>
              <w:rPr>
                <w:rFonts w:ascii="Arial" w:cs="Arial" w:eastAsia="Arial" w:hAnsi="Arial"/>
                <w:sz w:val="13"/>
                <w:szCs w:val="13"/>
                <w:color w:val="auto"/>
              </w:rPr>
              <w:t xml:space="preserve">Association in participation </w:t>
            </w:r>
            <w:r>
              <w:rPr>
                <w:rFonts w:ascii="Arial" w:cs="Arial" w:eastAsia="Arial" w:hAnsi="Arial"/>
                <w:sz w:val="21"/>
                <w:szCs w:val="21"/>
                <w:color w:val="auto"/>
                <w:vertAlign w:val="superscript"/>
              </w:rPr>
              <w:t>(5)</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(5,711)</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(4,746)</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(5,348)</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12.7%</w:t>
            </w:r>
          </w:p>
        </w:tc>
        <w:tc>
          <w:tcPr>
            <w:tcW w:w="1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-6.4%</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(14,355)</w:t>
            </w:r>
          </w:p>
        </w:tc>
        <w:tc>
          <w:tcPr>
            <w:tcW w:w="8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(12,830)</w:t>
            </w:r>
          </w:p>
        </w:tc>
        <w:tc>
          <w:tcPr>
            <w:tcW w:w="1160" w:type="dxa"/>
            <w:vAlign w:val="bottom"/>
            <w:gridSpan w:val="3"/>
          </w:tcPr>
          <w:p>
            <w:pPr>
              <w:jc w:val="right"/>
              <w:ind w:right="20"/>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Other expenses</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(29,102)</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(20,555)</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(54,575)</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165.5%</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87.5%</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(164,430)</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(122,571)</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Total expenses</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(1,525,455)</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(1,582,853)</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(1,651,622)</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4.3%</w:t>
            </w:r>
          </w:p>
        </w:tc>
        <w:tc>
          <w:tcPr>
            <w:tcW w:w="1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8.3%</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(4,498,228)</w:t>
            </w: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94"/>
              </w:rPr>
              <w:t>(4,772,807)</w:t>
            </w: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6.1%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b w:val="1"/>
                <w:bCs w:val="1"/>
                <w:color w:val="auto"/>
              </w:rPr>
              <w:t>Profit before income tax</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1,394,249</w:t>
            </w:r>
          </w:p>
        </w:tc>
        <w:tc>
          <w:tcPr>
            <w:tcW w:w="22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1,535,741</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1,519,351</w:t>
            </w:r>
          </w:p>
        </w:tc>
        <w:tc>
          <w:tcPr>
            <w:tcW w:w="22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-1.1%</w:t>
            </w:r>
          </w:p>
        </w:tc>
        <w:tc>
          <w:tcPr>
            <w:tcW w:w="1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9.0%</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4,230,708</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4,602,328</w:t>
            </w: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160"/>
              <w:spacing w:after="0" w:line="149" w:lineRule="exact"/>
              <w:rPr>
                <w:sz w:val="20"/>
                <w:szCs w:val="20"/>
                <w:color w:val="auto"/>
              </w:rPr>
            </w:pPr>
            <w:r>
              <w:rPr>
                <w:rFonts w:ascii="Arial" w:cs="Arial" w:eastAsia="Arial" w:hAnsi="Arial"/>
                <w:sz w:val="14"/>
                <w:szCs w:val="14"/>
                <w:color w:val="auto"/>
              </w:rPr>
              <w:t>Income tax</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(363,154)</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(415,210)</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(403,771)</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w:t>
            </w:r>
          </w:p>
        </w:tc>
        <w:tc>
          <w:tcPr>
            <w:tcW w:w="1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11.2%</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(1,136,557)</w:t>
            </w: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4"/>
              </w:rPr>
              <w:t>(1,242,954)</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b w:val="1"/>
                <w:bCs w:val="1"/>
                <w:color w:val="auto"/>
              </w:rPr>
              <w:t>Net profit</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1,031,095</w:t>
            </w:r>
          </w:p>
        </w:tc>
        <w:tc>
          <w:tcPr>
            <w:tcW w:w="22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1,120,531</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1,115,580</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-0.4%</w:t>
            </w:r>
          </w:p>
        </w:tc>
        <w:tc>
          <w:tcPr>
            <w:tcW w:w="1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8.2%</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3,094,151</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3,359,374</w:t>
            </w: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Non-controlling interest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19,809</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21,958</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22,545</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2.7%</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13.8%</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67,219</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66,900</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720" w:type="dxa"/>
            <w:vAlign w:val="bottom"/>
          </w:tcPr>
          <w:p>
            <w:pPr>
              <w:spacing w:after="0"/>
              <w:rPr>
                <w:sz w:val="20"/>
                <w:szCs w:val="20"/>
                <w:color w:val="auto"/>
              </w:rPr>
            </w:pPr>
            <w:r>
              <w:rPr>
                <w:rFonts w:ascii="Arial" w:cs="Arial" w:eastAsia="Arial" w:hAnsi="Arial"/>
                <w:sz w:val="14"/>
                <w:szCs w:val="14"/>
                <w:b w:val="1"/>
                <w:bCs w:val="1"/>
                <w:color w:val="auto"/>
              </w:rPr>
              <w:t>Net profit attributable to Credicorp</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1,011,286</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1,098,573</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1,093,035</w:t>
            </w:r>
          </w:p>
        </w:tc>
        <w:tc>
          <w:tcPr>
            <w:tcW w:w="22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-0.5%</w:t>
            </w:r>
          </w:p>
        </w:tc>
        <w:tc>
          <w:tcPr>
            <w:tcW w:w="18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8.1%</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3,026,932</w:t>
            </w:r>
          </w:p>
        </w:tc>
        <w:tc>
          <w:tcPr>
            <w:tcW w:w="8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3,292,474</w:t>
            </w: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8.8%</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260" w:hanging="252"/>
        <w:spacing w:after="0"/>
        <w:tabs>
          <w:tab w:leader="none" w:pos="2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As of 2019, financing expenses related to lease agreements is included according to the application of IFRS 16.</w:t>
      </w:r>
    </w:p>
    <w:p>
      <w:pPr>
        <w:spacing w:after="0" w:line="23" w:lineRule="exact"/>
        <w:rPr>
          <w:rFonts w:ascii="Arial" w:cs="Arial" w:eastAsia="Arial" w:hAnsi="Arial"/>
          <w:sz w:val="18"/>
          <w:szCs w:val="18"/>
          <w:color w:val="auto"/>
        </w:rPr>
      </w:pPr>
    </w:p>
    <w:p>
      <w:pPr>
        <w:ind w:firstLine="8"/>
        <w:spacing w:after="0" w:line="250" w:lineRule="auto"/>
        <w:tabs>
          <w:tab w:leader="none" w:pos="278" w:val="left"/>
        </w:tabs>
        <w:numPr>
          <w:ilvl w:val="0"/>
          <w:numId w:val="84"/>
        </w:numPr>
        <w:rPr>
          <w:rFonts w:ascii="Arial" w:cs="Arial" w:eastAsia="Arial" w:hAnsi="Arial"/>
          <w:sz w:val="18"/>
          <w:szCs w:val="18"/>
          <w:color w:val="auto"/>
        </w:rPr>
      </w:pPr>
      <w:r>
        <w:rPr>
          <w:rFonts w:ascii="Arial" w:cs="Arial" w:eastAsia="Arial" w:hAnsi="Arial"/>
          <w:sz w:val="18"/>
          <w:szCs w:val="18"/>
          <w:color w:val="auto"/>
        </w:rPr>
        <w:t>Starting in 2019 the gain from other investments in related companies has been included in the item "Net gain in associates"; which previously was presented in the item "Net gain on securities".</w:t>
      </w:r>
    </w:p>
    <w:p>
      <w:pPr>
        <w:ind w:left="260" w:hanging="252"/>
        <w:spacing w:after="0"/>
        <w:tabs>
          <w:tab w:leader="none" w:pos="2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Includes gains on other investments, mainly made up of the profit of Banmedica.</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acquisition cost of Pacifico includes net fees and underwriting expenses.</w:t>
      </w:r>
    </w:p>
    <w:p>
      <w:pPr>
        <w:spacing w:after="0" w:line="9" w:lineRule="exact"/>
        <w:rPr>
          <w:rFonts w:ascii="Arial" w:cs="Arial" w:eastAsia="Arial" w:hAnsi="Arial"/>
          <w:sz w:val="18"/>
          <w:szCs w:val="18"/>
          <w:color w:val="auto"/>
        </w:rPr>
      </w:pPr>
    </w:p>
    <w:p>
      <w:pPr>
        <w:ind w:firstLine="8"/>
        <w:spacing w:after="0" w:line="265" w:lineRule="auto"/>
        <w:tabs>
          <w:tab w:leader="none" w:pos="273" w:val="left"/>
        </w:tabs>
        <w:numPr>
          <w:ilvl w:val="0"/>
          <w:numId w:val="84"/>
        </w:numPr>
        <w:rPr>
          <w:rFonts w:ascii="Arial" w:cs="Arial" w:eastAsia="Arial" w:hAnsi="Arial"/>
          <w:sz w:val="17"/>
          <w:szCs w:val="17"/>
          <w:color w:val="auto"/>
        </w:rPr>
      </w:pPr>
      <w:r>
        <w:rPr>
          <w:rFonts w:ascii="Arial" w:cs="Arial" w:eastAsia="Arial" w:hAnsi="Arial"/>
          <w:sz w:val="17"/>
          <w:szCs w:val="17"/>
          <w:color w:val="auto"/>
        </w:rPr>
        <w:t>From 2019, the effect is being incorporated by the application of IFRS 16, which corresponds to a greater depreciation for the asset for right-of-use". Likewise, the expenses related to the depreciation of improvements in building for rent is being reclassified to the item "Other expenses".</w:t>
      </w:r>
    </w:p>
    <w:p>
      <w:pPr>
        <w:ind w:left="260" w:hanging="252"/>
        <w:spacing w:after="0"/>
        <w:tabs>
          <w:tab w:leader="none" w:pos="2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From this quarter, the item “Association in participation” was incorporated, which previously was presented in the item “Net gain on securities”</w:t>
      </w: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7" w:name="page58"/>
    <w:bookmarkEnd w:id="57"/>
    <w:p>
      <w:pPr>
        <w:ind w:left="20"/>
        <w:spacing w:after="0"/>
        <w:rPr>
          <w:sz w:val="20"/>
          <w:szCs w:val="20"/>
          <w:color w:val="auto"/>
        </w:rPr>
      </w:pPr>
      <w:r>
        <w:rPr>
          <w:rFonts w:ascii="Arial" w:cs="Arial" w:eastAsia="Arial" w:hAnsi="Arial"/>
          <w:sz w:val="18"/>
          <w:szCs w:val="18"/>
          <w:b w:val="1"/>
          <w:bCs w:val="1"/>
          <w:color w:val="auto"/>
        </w:rPr>
        <w:t>11.2. BCP Consolidated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FINANCIAL POSITION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As of</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gridSpan w:val="3"/>
          </w:tcPr>
          <w:p>
            <w:pPr>
              <w:ind w:left="900"/>
              <w:spacing w:after="0"/>
              <w:rPr>
                <w:sz w:val="20"/>
                <w:szCs w:val="20"/>
                <w:color w:val="auto"/>
              </w:rPr>
            </w:pPr>
            <w:r>
              <w:rPr>
                <w:rFonts w:ascii="Arial" w:cs="Arial" w:eastAsia="Arial" w:hAnsi="Arial"/>
                <w:sz w:val="18"/>
                <w:szCs w:val="18"/>
                <w:b w:val="1"/>
                <w:bCs w:val="1"/>
                <w:color w:val="auto"/>
                <w:w w:val="99"/>
              </w:rPr>
              <w:t>% change</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Sep 2018</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Jun 2019</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Sep 2019</w:t>
            </w:r>
          </w:p>
        </w:tc>
        <w:tc>
          <w:tcPr>
            <w:tcW w:w="1760" w:type="dxa"/>
            <w:vAlign w:val="bottom"/>
            <w:gridSpan w:val="3"/>
          </w:tcPr>
          <w:p>
            <w:pPr>
              <w:ind w:left="380"/>
              <w:spacing w:after="0"/>
              <w:rPr>
                <w:sz w:val="20"/>
                <w:szCs w:val="20"/>
                <w:color w:val="auto"/>
              </w:rPr>
            </w:pPr>
            <w:r>
              <w:rPr>
                <w:rFonts w:ascii="Arial" w:cs="Arial" w:eastAsia="Arial" w:hAnsi="Arial"/>
                <w:sz w:val="18"/>
                <w:szCs w:val="18"/>
                <w:b w:val="1"/>
                <w:bCs w:val="1"/>
                <w:color w:val="auto"/>
              </w:rPr>
              <w:t>QoQ</w:t>
            </w:r>
          </w:p>
        </w:tc>
        <w:tc>
          <w:tcPr>
            <w:tcW w:w="10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Cash and due from banks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Non-interest bearing</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5,579,636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5,039,035</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4,778,987</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Interest bearing</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13,063,804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16,660,085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19,146,069</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14.9%</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cash and due from banks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18,643,440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21,699,120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23,925,056</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6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Cash collateral, reverse repurchase agreements and</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securities borrowing</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3,286,785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3,255,249</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2,969,737</w:t>
            </w:r>
          </w:p>
        </w:tc>
        <w:tc>
          <w:tcPr>
            <w:tcW w:w="2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-8.8%</w:t>
            </w:r>
          </w:p>
        </w:tc>
        <w:tc>
          <w:tcPr>
            <w:tcW w:w="3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through profit or loss investments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350,710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516,973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182,957</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-64.6%</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00" w:type="dxa"/>
            <w:vAlign w:val="bottom"/>
          </w:tcPr>
          <w:p>
            <w:pPr>
              <w:spacing w:after="0" w:line="198" w:lineRule="exact"/>
              <w:rPr>
                <w:sz w:val="20"/>
                <w:szCs w:val="20"/>
                <w:color w:val="auto"/>
              </w:rPr>
            </w:pPr>
            <w:r>
              <w:rPr>
                <w:rFonts w:ascii="Arial" w:cs="Arial" w:eastAsia="Arial" w:hAnsi="Arial"/>
                <w:sz w:val="18"/>
                <w:szCs w:val="18"/>
                <w:b w:val="1"/>
                <w:bCs w:val="1"/>
                <w:color w:val="auto"/>
              </w:rPr>
              <w:t>Fair value through other comprehensive income</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0" w:type="dxa"/>
            <w:vAlign w:val="bottom"/>
          </w:tcPr>
          <w:p>
            <w:pPr>
              <w:ind w:left="160"/>
              <w:spacing w:after="0"/>
              <w:rPr>
                <w:sz w:val="20"/>
                <w:szCs w:val="20"/>
                <w:color w:val="auto"/>
              </w:rPr>
            </w:pPr>
            <w:r>
              <w:rPr>
                <w:rFonts w:ascii="Arial" w:cs="Arial" w:eastAsia="Arial" w:hAnsi="Arial"/>
                <w:sz w:val="18"/>
                <w:szCs w:val="18"/>
                <w:b w:val="1"/>
                <w:bCs w:val="1"/>
                <w:color w:val="auto"/>
              </w:rPr>
              <w:t>investments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12,310,693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15,626,554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14,934,297</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-4.4%</w:t>
            </w:r>
          </w:p>
        </w:tc>
        <w:tc>
          <w:tcPr>
            <w:tcW w:w="3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Amortized cost investments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3,799,355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3,347,118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3,293,125</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95,616,875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99,791,392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102,338,510</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2.6%</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Current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92,568,501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96,649,966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99,151,976</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Internal overdue loans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3,048,374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3,141,426</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3,186,534</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Less - allowance for loan losses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(4,684,448)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(4,637,969)</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(4,734,401)</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Loans, net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90,932,427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95,153,423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97,604,109</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2.6%</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60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Property, furniture and equipment, net </w:t>
            </w:r>
            <w:r>
              <w:rPr>
                <w:rFonts w:ascii="Arial" w:cs="Arial" w:eastAsia="Arial" w:hAnsi="Arial"/>
                <w:sz w:val="29"/>
                <w:szCs w:val="29"/>
                <w:b w:val="1"/>
                <w:bCs w:val="1"/>
                <w:color w:val="auto"/>
                <w:vertAlign w:val="superscript"/>
              </w:rPr>
              <w:t>(1)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1,234,451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2,662,063</w:t>
            </w: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2,670,154</w:t>
            </w:r>
          </w:p>
        </w:tc>
        <w:tc>
          <w:tcPr>
            <w:tcW w:w="22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0.3%</w:t>
            </w:r>
          </w:p>
        </w:tc>
        <w:tc>
          <w:tcPr>
            <w:tcW w:w="3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Due from customers on acceptances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969,702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534,637</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434,457</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-18.7%</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-55.2%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0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Other assets </w:t>
            </w:r>
            <w:r>
              <w:rPr>
                <w:rFonts w:ascii="Arial" w:cs="Arial" w:eastAsia="Arial" w:hAnsi="Arial"/>
                <w:sz w:val="29"/>
                <w:szCs w:val="29"/>
                <w:b w:val="1"/>
                <w:bCs w:val="1"/>
                <w:color w:val="auto"/>
                <w:vertAlign w:val="superscript"/>
              </w:rPr>
              <w:t>(2)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3,709,396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4,638,680</w:t>
            </w: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5,195,664</w:t>
            </w:r>
          </w:p>
        </w:tc>
        <w:tc>
          <w:tcPr>
            <w:tcW w:w="22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12.0%</w:t>
            </w:r>
          </w:p>
        </w:tc>
        <w:tc>
          <w:tcPr>
            <w:tcW w:w="3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85"/>
              </w:rPr>
              <w:t>Total Assets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135,236,959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147,433,817</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151,209,556</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2.6%</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Deposits and obligations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Non-interest bearing</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22,012,074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23,243,024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24,483,137</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Interest bearing</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63,902,968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69,210,922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71,620,420</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deposits and obligations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85,915,042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92,453,946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96,103,557</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6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Payables from repurchase agreements and securities</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lending</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6,753,204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8,019,941</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5,721,581</w:t>
            </w:r>
          </w:p>
        </w:tc>
        <w:tc>
          <w:tcPr>
            <w:tcW w:w="2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-28.7%</w:t>
            </w:r>
          </w:p>
        </w:tc>
        <w:tc>
          <w:tcPr>
            <w:tcW w:w="3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BCRP instruments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4,851,805</w:t>
            </w:r>
          </w:p>
        </w:tc>
        <w:tc>
          <w:tcPr>
            <w:tcW w:w="1140" w:type="dxa"/>
            <w:vAlign w:val="bottom"/>
          </w:tcPr>
          <w:p>
            <w:pPr>
              <w:jc w:val="right"/>
              <w:spacing w:after="0"/>
              <w:rPr>
                <w:sz w:val="20"/>
                <w:szCs w:val="20"/>
                <w:color w:val="auto"/>
              </w:rPr>
            </w:pPr>
            <w:r>
              <w:rPr>
                <w:rFonts w:ascii="Arial" w:cs="Arial" w:eastAsia="Arial" w:hAnsi="Arial"/>
                <w:sz w:val="18"/>
                <w:szCs w:val="18"/>
                <w:color w:val="auto"/>
              </w:rPr>
              <w:t>6,304,186</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4,144,908</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-34.3%</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agreements with third parties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1,901,399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1,715,756</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1,576,673</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7,666,566</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9,280,977</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8,714,198</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-6.1%</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Bonds and notes issued</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14,450,969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14,429,601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16,546,780</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Banker’s acceptances outstanding</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969,702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534,637</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434,457</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-18.7%</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 at fair value through profit or loss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52,641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70,459</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13,977</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-80.2%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-73.4%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00" w:type="dxa"/>
            <w:vAlign w:val="bottom"/>
          </w:tcPr>
          <w:p>
            <w:pPr>
              <w:spacing w:after="0" w:line="256" w:lineRule="exact"/>
              <w:rPr>
                <w:sz w:val="20"/>
                <w:szCs w:val="20"/>
                <w:color w:val="auto"/>
              </w:rPr>
            </w:pPr>
            <w:r>
              <w:rPr>
                <w:rFonts w:ascii="Arial" w:cs="Arial" w:eastAsia="Arial" w:hAnsi="Arial"/>
                <w:sz w:val="18"/>
                <w:szCs w:val="18"/>
                <w:b w:val="1"/>
                <w:bCs w:val="1"/>
                <w:color w:val="auto"/>
              </w:rPr>
              <w:t xml:space="preserve">Other liabilities </w:t>
            </w:r>
            <w:r>
              <w:rPr>
                <w:rFonts w:ascii="Arial" w:cs="Arial" w:eastAsia="Arial" w:hAnsi="Arial"/>
                <w:sz w:val="29"/>
                <w:szCs w:val="29"/>
                <w:b w:val="1"/>
                <w:bCs w:val="1"/>
                <w:color w:val="auto"/>
                <w:vertAlign w:val="superscript"/>
              </w:rPr>
              <w:t>(3)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3,111,909</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4,990,667</w:t>
            </w: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5,542,036</w:t>
            </w:r>
          </w:p>
        </w:tc>
        <w:tc>
          <w:tcPr>
            <w:tcW w:w="220" w:type="dxa"/>
            <w:vAlign w:val="bottom"/>
          </w:tcPr>
          <w:p>
            <w:pPr>
              <w:spacing w:after="0"/>
              <w:rPr>
                <w:sz w:val="22"/>
                <w:szCs w:val="22"/>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11.0%</w:t>
            </w:r>
          </w:p>
        </w:tc>
        <w:tc>
          <w:tcPr>
            <w:tcW w:w="32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1"/>
              </w:rPr>
              <w:t>Total Liabilities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118,920,033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129,780,228</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133,076,586</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equity</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16,177,667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17,539,343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18,013,914</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Capital stock</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8,476,984</w:t>
            </w:r>
          </w:p>
        </w:tc>
        <w:tc>
          <w:tcPr>
            <w:tcW w:w="1140" w:type="dxa"/>
            <w:vAlign w:val="bottom"/>
          </w:tcPr>
          <w:p>
            <w:pPr>
              <w:jc w:val="right"/>
              <w:spacing w:after="0"/>
              <w:rPr>
                <w:sz w:val="20"/>
                <w:szCs w:val="20"/>
                <w:color w:val="auto"/>
              </w:rPr>
            </w:pPr>
            <w:r>
              <w:rPr>
                <w:rFonts w:ascii="Arial" w:cs="Arial" w:eastAsia="Arial" w:hAnsi="Arial"/>
                <w:sz w:val="18"/>
                <w:szCs w:val="18"/>
                <w:color w:val="auto"/>
              </w:rPr>
              <w:t>9,924,006</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9,924,006</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Reserves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3,965,447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4,476,256</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4,476,256</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Unrealized gains and losses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49,695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235,391</w:t>
            </w:r>
          </w:p>
        </w:tc>
        <w:tc>
          <w:tcPr>
            <w:tcW w:w="1120" w:type="dxa"/>
            <w:vAlign w:val="bottom"/>
          </w:tcPr>
          <w:p>
            <w:pPr>
              <w:jc w:val="right"/>
              <w:spacing w:after="0"/>
              <w:rPr>
                <w:sz w:val="20"/>
                <w:szCs w:val="20"/>
                <w:color w:val="auto"/>
              </w:rPr>
            </w:pPr>
            <w:r>
              <w:rPr>
                <w:rFonts w:ascii="Arial" w:cs="Arial" w:eastAsia="Arial" w:hAnsi="Arial"/>
                <w:sz w:val="18"/>
                <w:szCs w:val="18"/>
                <w:color w:val="auto"/>
              </w:rPr>
              <w:t>296,915</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26.1%</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3,685,541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2,903,690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3,316,737</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139,259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114,246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119,056</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3"/>
              </w:rPr>
              <w:t>Total Net Equity</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16,316,926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17,653,589</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18,132,970</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135,236,959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147,433,817</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151,209,556</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2.6%</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Off-balance sheet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109,893,890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112,550,680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119,919,107</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Total performance bonds, stand-by and L/Cs.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17,051,392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17,678,879</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18,482,396</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Undrawn credit lines, advised but not committed</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66,950,168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67,316,327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70,846,512</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Total derivatives (notional) and others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25,892,330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27,555,474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30,590,199</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11.0%</w:t>
            </w:r>
          </w:p>
        </w:tc>
        <w:tc>
          <w:tcPr>
            <w:tcW w:w="3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firstLine="8"/>
        <w:spacing w:after="0" w:line="291" w:lineRule="auto"/>
        <w:tabs>
          <w:tab w:leader="none" w:pos="262"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amounts differ from those previously reported due to the reclassification of the expenses on improvements in building for rent, previously presented in the item “Other assets”. Likewise, in the 2019 the asset is incorporated for the right to use the lease contracts, in application of the IFRS 16.</w:t>
      </w:r>
    </w:p>
    <w:p>
      <w:pPr>
        <w:ind w:left="260" w:hanging="252"/>
        <w:spacing w:after="0"/>
        <w:tabs>
          <w:tab w:leader="none" w:pos="2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Mainly includes intangible assets, other receivable accounts and tax credit.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Mainly includes other payable accounts.</w:t>
      </w:r>
    </w:p>
    <w:p>
      <w:pPr>
        <w:sectPr>
          <w:pgSz w:w="11900" w:h="16838" w:orient="portrait"/>
          <w:cols w:equalWidth="0" w:num="1">
            <w:col w:w="11420"/>
          </w:cols>
          <w:pgMar w:left="240" w:top="905" w:right="239" w:bottom="0" w:gutter="0" w:footer="0" w:header="0"/>
        </w:sectPr>
      </w:pPr>
    </w:p>
    <w:bookmarkStart w:id="58" w:name="page59"/>
    <w:bookmarkEnd w:id="58"/>
    <w:p>
      <w:pPr>
        <w:ind w:left="10040"/>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557"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Quarter</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ind w:left="480"/>
              <w:spacing w:after="0"/>
              <w:rPr>
                <w:sz w:val="20"/>
                <w:szCs w:val="20"/>
                <w:color w:val="auto"/>
              </w:rPr>
            </w:pPr>
            <w:r>
              <w:rPr>
                <w:rFonts w:ascii="Arial" w:cs="Arial" w:eastAsia="Arial" w:hAnsi="Arial"/>
                <w:sz w:val="14"/>
                <w:szCs w:val="14"/>
                <w:b w:val="1"/>
                <w:bCs w:val="1"/>
                <w:color w:val="auto"/>
                <w:w w:val="94"/>
              </w:rPr>
              <w:t>% change</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3"/>
          </w:tcPr>
          <w:p>
            <w:pPr>
              <w:ind w:left="700"/>
              <w:spacing w:after="0"/>
              <w:rPr>
                <w:sz w:val="20"/>
                <w:szCs w:val="20"/>
                <w:color w:val="auto"/>
              </w:rPr>
            </w:pPr>
            <w:r>
              <w:rPr>
                <w:rFonts w:ascii="Arial" w:cs="Arial" w:eastAsia="Arial" w:hAnsi="Arial"/>
                <w:sz w:val="14"/>
                <w:szCs w:val="14"/>
                <w:b w:val="1"/>
                <w:bCs w:val="1"/>
                <w:color w:val="auto"/>
              </w:rPr>
              <w:t>YTD</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3Q18</w:t>
            </w: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2Q19</w:t>
            </w: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3Q19</w:t>
            </w:r>
          </w:p>
        </w:tc>
        <w:tc>
          <w:tcPr>
            <w:tcW w:w="1120" w:type="dxa"/>
            <w:vAlign w:val="bottom"/>
            <w:gridSpan w:val="3"/>
          </w:tcPr>
          <w:p>
            <w:pPr>
              <w:ind w:left="180"/>
              <w:spacing w:after="0"/>
              <w:rPr>
                <w:sz w:val="20"/>
                <w:szCs w:val="20"/>
                <w:color w:val="auto"/>
              </w:rPr>
            </w:pPr>
            <w:r>
              <w:rPr>
                <w:rFonts w:ascii="Arial" w:cs="Arial" w:eastAsia="Arial" w:hAnsi="Arial"/>
                <w:sz w:val="14"/>
                <w:szCs w:val="14"/>
                <w:b w:val="1"/>
                <w:bCs w:val="1"/>
                <w:color w:val="auto"/>
              </w:rPr>
              <w:t>QoQ</w:t>
            </w:r>
          </w:p>
        </w:tc>
        <w:tc>
          <w:tcPr>
            <w:tcW w:w="7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7"/>
              </w:rPr>
              <w:t>YoY</w:t>
            </w:r>
          </w:p>
        </w:tc>
        <w:tc>
          <w:tcPr>
            <w:tcW w:w="1040" w:type="dxa"/>
            <w:vAlign w:val="bottom"/>
            <w:gridSpan w:val="3"/>
          </w:tcPr>
          <w:p>
            <w:pPr>
              <w:ind w:left="180"/>
              <w:spacing w:after="0"/>
              <w:rPr>
                <w:sz w:val="20"/>
                <w:szCs w:val="20"/>
                <w:color w:val="auto"/>
              </w:rPr>
            </w:pPr>
            <w:r>
              <w:rPr>
                <w:rFonts w:ascii="Arial" w:cs="Arial" w:eastAsia="Arial" w:hAnsi="Arial"/>
                <w:sz w:val="14"/>
                <w:szCs w:val="14"/>
                <w:b w:val="1"/>
                <w:bCs w:val="1"/>
                <w:color w:val="auto"/>
              </w:rPr>
              <w:t>Sep 18</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Sep 19</w:t>
            </w:r>
          </w:p>
        </w:tc>
        <w:tc>
          <w:tcPr>
            <w:tcW w:w="11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6"/>
              </w:rPr>
              <w:t>Sep 19 / Sep 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Interest income and expense</w:t>
            </w:r>
          </w:p>
        </w:tc>
        <w:tc>
          <w:tcPr>
            <w:tcW w:w="7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160"/>
              <w:spacing w:after="0" w:line="149" w:lineRule="exact"/>
              <w:rPr>
                <w:sz w:val="20"/>
                <w:szCs w:val="20"/>
                <w:color w:val="auto"/>
              </w:rPr>
            </w:pPr>
            <w:r>
              <w:rPr>
                <w:rFonts w:ascii="Arial" w:cs="Arial" w:eastAsia="Arial" w:hAnsi="Arial"/>
                <w:sz w:val="14"/>
                <w:szCs w:val="14"/>
                <w:color w:val="auto"/>
              </w:rPr>
              <w:t>Interest and dividend income</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2,553,311</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2,727,447</w:t>
            </w:r>
          </w:p>
        </w:tc>
        <w:tc>
          <w:tcPr>
            <w:tcW w:w="20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2,780,173</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w:t>
            </w: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8.9%</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7,527,500</w:t>
            </w:r>
          </w:p>
        </w:tc>
        <w:tc>
          <w:tcPr>
            <w:tcW w:w="8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8,163,835</w:t>
            </w:r>
          </w:p>
        </w:tc>
        <w:tc>
          <w:tcPr>
            <w:tcW w:w="11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shd w:val="clear" w:color="auto" w:fill="CCEEFF"/>
          </w:tcPr>
          <w:p>
            <w:pPr>
              <w:ind w:left="160"/>
              <w:spacing w:after="0" w:line="189" w:lineRule="exact"/>
              <w:rPr>
                <w:sz w:val="20"/>
                <w:szCs w:val="20"/>
                <w:color w:val="auto"/>
              </w:rPr>
            </w:pPr>
            <w:r>
              <w:rPr>
                <w:rFonts w:ascii="Arial" w:cs="Arial" w:eastAsia="Arial" w:hAnsi="Arial"/>
                <w:sz w:val="13"/>
                <w:szCs w:val="13"/>
                <w:color w:val="auto"/>
              </w:rPr>
              <w:t xml:space="preserve">Interest expense </w:t>
            </w:r>
            <w:r>
              <w:rPr>
                <w:rFonts w:ascii="Arial" w:cs="Arial" w:eastAsia="Arial" w:hAnsi="Arial"/>
                <w:sz w:val="21"/>
                <w:szCs w:val="21"/>
                <w:color w:val="auto"/>
                <w:vertAlign w:val="superscript"/>
              </w:rPr>
              <w:t>(1)</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(647,701)</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(720,654)</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(737,099)</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2.3%</w:t>
            </w:r>
          </w:p>
        </w:tc>
        <w:tc>
          <w:tcPr>
            <w:tcW w:w="2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13.8%</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(1,948,132)</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7"/>
              </w:rPr>
              <w:t>(2,169,868)</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Net interest income</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1,905,610</w:t>
            </w: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2,006,793</w:t>
            </w:r>
          </w:p>
        </w:tc>
        <w:tc>
          <w:tcPr>
            <w:tcW w:w="20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2,043,074</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1.8%</w:t>
            </w:r>
          </w:p>
        </w:tc>
        <w:tc>
          <w:tcPr>
            <w:tcW w:w="2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7.2%</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5,579,368</w:t>
            </w:r>
          </w:p>
        </w:tc>
        <w:tc>
          <w:tcPr>
            <w:tcW w:w="8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5,993,967</w:t>
            </w:r>
          </w:p>
        </w:tc>
        <w:tc>
          <w:tcPr>
            <w:tcW w:w="11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color w:val="auto"/>
              </w:rPr>
              <w:t>Provision for credit losses on loan portfolio</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(494,089)</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(494,492)</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(557,416)</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12.7%</w:t>
            </w: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12.8%</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(1,294,212)</w:t>
            </w: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7"/>
              </w:rPr>
              <w:t>(1,489,122)</w:t>
            </w:r>
          </w:p>
        </w:tc>
        <w:tc>
          <w:tcPr>
            <w:tcW w:w="11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Recoveries of written-off loans</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71,616</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60,861</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64,728</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6.4%</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-9.6%</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209,628</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195,425</w:t>
            </w:r>
          </w:p>
        </w:tc>
        <w:tc>
          <w:tcPr>
            <w:tcW w:w="11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720" w:type="dxa"/>
            <w:vAlign w:val="bottom"/>
          </w:tcPr>
          <w:p>
            <w:pPr>
              <w:spacing w:after="0" w:line="126" w:lineRule="exact"/>
              <w:rPr>
                <w:sz w:val="20"/>
                <w:szCs w:val="20"/>
                <w:color w:val="auto"/>
              </w:rPr>
            </w:pPr>
            <w:r>
              <w:rPr>
                <w:rFonts w:ascii="Arial" w:cs="Arial" w:eastAsia="Arial" w:hAnsi="Arial"/>
                <w:sz w:val="14"/>
                <w:szCs w:val="14"/>
                <w:b w:val="1"/>
                <w:bCs w:val="1"/>
                <w:color w:val="auto"/>
              </w:rPr>
              <w:t>Provision for credit losses on loan portfolio, net of</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(422,473)</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(433,631)</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(492,688)</w:t>
            </w: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13.6%</w:t>
            </w:r>
          </w:p>
        </w:tc>
        <w:tc>
          <w:tcPr>
            <w:tcW w:w="200" w:type="dxa"/>
            <w:vAlign w:val="bottom"/>
          </w:tcPr>
          <w:p>
            <w:pPr>
              <w:spacing w:after="0"/>
              <w:rPr>
                <w:sz w:val="10"/>
                <w:szCs w:val="10"/>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16.6%</w:t>
            </w: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recoveries</w:t>
            </w:r>
          </w:p>
        </w:tc>
        <w:tc>
          <w:tcPr>
            <w:tcW w:w="9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(1,084,584)</w:t>
            </w: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w w:val="97"/>
              </w:rPr>
              <w:t>(1,293,697)</w:t>
            </w:r>
          </w:p>
        </w:tc>
        <w:tc>
          <w:tcPr>
            <w:tcW w:w="1120" w:type="dxa"/>
            <w:vAlign w:val="bottom"/>
            <w:gridSpan w:val="3"/>
          </w:tcPr>
          <w:p>
            <w:pPr>
              <w:jc w:val="right"/>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b w:val="1"/>
                <w:bCs w:val="1"/>
                <w:color w:val="auto"/>
              </w:rPr>
              <w:t>Risk-adjusted net interest income</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1,483,137</w:t>
            </w: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1,573,162</w:t>
            </w:r>
          </w:p>
        </w:tc>
        <w:tc>
          <w:tcPr>
            <w:tcW w:w="20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1,550,386</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-1.4%</w:t>
            </w:r>
          </w:p>
        </w:tc>
        <w:tc>
          <w:tcPr>
            <w:tcW w:w="2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4.5%</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4,494,784</w:t>
            </w:r>
          </w:p>
        </w:tc>
        <w:tc>
          <w:tcPr>
            <w:tcW w:w="8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4,700,270</w:t>
            </w:r>
          </w:p>
        </w:tc>
        <w:tc>
          <w:tcPr>
            <w:tcW w:w="11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b w:val="1"/>
                <w:bCs w:val="1"/>
                <w:color w:val="auto"/>
              </w:rPr>
              <w:t>Non-financial income</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Fee income</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624,494</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635,782</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661,070</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4.0%</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5.9%</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1,835,021</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1,929,178</w:t>
            </w:r>
          </w:p>
        </w:tc>
        <w:tc>
          <w:tcPr>
            <w:tcW w:w="11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160"/>
              <w:spacing w:after="0" w:line="149" w:lineRule="exact"/>
              <w:rPr>
                <w:sz w:val="20"/>
                <w:szCs w:val="20"/>
                <w:color w:val="auto"/>
              </w:rPr>
            </w:pPr>
            <w:r>
              <w:rPr>
                <w:rFonts w:ascii="Arial" w:cs="Arial" w:eastAsia="Arial" w:hAnsi="Arial"/>
                <w:sz w:val="14"/>
                <w:szCs w:val="14"/>
                <w:color w:val="auto"/>
              </w:rPr>
              <w:t>Net gain on foreign exchange transactions</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174,330</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184,131</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184,383</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0.1%</w:t>
            </w: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5.8%</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500,951</w:t>
            </w:r>
          </w:p>
        </w:tc>
        <w:tc>
          <w:tcPr>
            <w:tcW w:w="8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538,533</w:t>
            </w:r>
          </w:p>
        </w:tc>
        <w:tc>
          <w:tcPr>
            <w:tcW w:w="11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Net gain on securities</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1,405</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20,431</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85,506</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318.5%</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5985.8%</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9,028</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111,807</w:t>
            </w:r>
          </w:p>
        </w:tc>
        <w:tc>
          <w:tcPr>
            <w:tcW w:w="11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1138.4%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160"/>
              <w:spacing w:after="0" w:line="149" w:lineRule="exact"/>
              <w:rPr>
                <w:sz w:val="20"/>
                <w:szCs w:val="20"/>
                <w:color w:val="auto"/>
              </w:rPr>
            </w:pPr>
            <w:r>
              <w:rPr>
                <w:rFonts w:ascii="Arial" w:cs="Arial" w:eastAsia="Arial" w:hAnsi="Arial"/>
                <w:sz w:val="14"/>
                <w:szCs w:val="14"/>
                <w:color w:val="auto"/>
              </w:rPr>
              <w:t>Net gain on derivatives held for trading</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(7,316)</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12,918</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2,762</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-78.6%</w:t>
            </w: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-137.8%</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(4,546)</w:t>
            </w:r>
          </w:p>
        </w:tc>
        <w:tc>
          <w:tcPr>
            <w:tcW w:w="8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28,350</w:t>
            </w:r>
          </w:p>
        </w:tc>
        <w:tc>
          <w:tcPr>
            <w:tcW w:w="11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-723.6%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Net gain from exchange differences</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6,838</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952</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(4,515)</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-574.3%</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-166.0%</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20,204</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1,469</w:t>
            </w:r>
          </w:p>
        </w:tc>
        <w:tc>
          <w:tcPr>
            <w:tcW w:w="11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160"/>
              <w:spacing w:after="0" w:line="149" w:lineRule="exact"/>
              <w:rPr>
                <w:sz w:val="20"/>
                <w:szCs w:val="20"/>
                <w:color w:val="auto"/>
              </w:rPr>
            </w:pPr>
            <w:r>
              <w:rPr>
                <w:rFonts w:ascii="Arial" w:cs="Arial" w:eastAsia="Arial" w:hAnsi="Arial"/>
                <w:sz w:val="14"/>
                <w:szCs w:val="14"/>
                <w:color w:val="auto"/>
              </w:rPr>
              <w:t>Others</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58,706</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47,128</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75,755</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60.7%</w:t>
            </w: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29.0%</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186,895</w:t>
            </w:r>
          </w:p>
        </w:tc>
        <w:tc>
          <w:tcPr>
            <w:tcW w:w="8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173,668</w:t>
            </w:r>
          </w:p>
        </w:tc>
        <w:tc>
          <w:tcPr>
            <w:tcW w:w="11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b w:val="1"/>
                <w:bCs w:val="1"/>
                <w:color w:val="auto"/>
              </w:rPr>
              <w:t>Total other income</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858,457</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901,342</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1,004,961</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11.5%</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17.1%</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2,547,553</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2,783,005</w:t>
            </w:r>
          </w:p>
        </w:tc>
        <w:tc>
          <w:tcPr>
            <w:tcW w:w="11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expenses</w:t>
            </w: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160"/>
              <w:spacing w:after="0" w:line="149" w:lineRule="exact"/>
              <w:rPr>
                <w:sz w:val="20"/>
                <w:szCs w:val="20"/>
                <w:color w:val="auto"/>
              </w:rPr>
            </w:pPr>
            <w:r>
              <w:rPr>
                <w:rFonts w:ascii="Arial" w:cs="Arial" w:eastAsia="Arial" w:hAnsi="Arial"/>
                <w:sz w:val="14"/>
                <w:szCs w:val="14"/>
                <w:color w:val="auto"/>
              </w:rPr>
              <w:t>Salaries and employee benefits</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(606,897)</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(638,802)</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(638,819)</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5.3%</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(1,784,525)</w:t>
            </w: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7"/>
              </w:rPr>
              <w:t>(1,904,389)</w:t>
            </w:r>
          </w:p>
        </w:tc>
        <w:tc>
          <w:tcPr>
            <w:tcW w:w="11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Administrative expenses</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(474,723)</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(413,990)</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(448,657)</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8.4%</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-5.5%</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(1,304,761)</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(1,247,360)</w:t>
            </w:r>
          </w:p>
        </w:tc>
        <w:tc>
          <w:tcPr>
            <w:tcW w:w="11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tcPr>
          <w:p>
            <w:pPr>
              <w:ind w:left="160"/>
              <w:spacing w:after="0" w:line="189" w:lineRule="exact"/>
              <w:rPr>
                <w:sz w:val="20"/>
                <w:szCs w:val="20"/>
                <w:color w:val="auto"/>
              </w:rPr>
            </w:pPr>
            <w:r>
              <w:rPr>
                <w:rFonts w:ascii="Arial" w:cs="Arial" w:eastAsia="Arial" w:hAnsi="Arial"/>
                <w:sz w:val="13"/>
                <w:szCs w:val="13"/>
                <w:color w:val="auto"/>
              </w:rPr>
              <w:t xml:space="preserve">Depreciation and amortization </w:t>
            </w:r>
            <w:r>
              <w:rPr>
                <w:rFonts w:ascii="Arial" w:cs="Arial" w:eastAsia="Arial" w:hAnsi="Arial"/>
                <w:sz w:val="21"/>
                <w:szCs w:val="21"/>
                <w:color w:val="auto"/>
                <w:vertAlign w:val="superscript"/>
              </w:rPr>
              <w:t>(2)</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(80,584)</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(149,447)</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(151,466)</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1.4%</w:t>
            </w:r>
          </w:p>
        </w:tc>
        <w:tc>
          <w:tcPr>
            <w:tcW w:w="2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88.0%</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(243,668)</w:t>
            </w:r>
          </w:p>
        </w:tc>
        <w:tc>
          <w:tcPr>
            <w:tcW w:w="8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(417,322)</w:t>
            </w:r>
          </w:p>
        </w:tc>
        <w:tc>
          <w:tcPr>
            <w:tcW w:w="1120" w:type="dxa"/>
            <w:vAlign w:val="bottom"/>
            <w:gridSpan w:val="3"/>
          </w:tcPr>
          <w:p>
            <w:pPr>
              <w:jc w:val="right"/>
              <w:spacing w:after="0"/>
              <w:rPr>
                <w:sz w:val="20"/>
                <w:szCs w:val="20"/>
                <w:color w:val="auto"/>
              </w:rPr>
            </w:pPr>
            <w:r>
              <w:rPr>
                <w:rFonts w:ascii="Arial" w:cs="Arial" w:eastAsia="Arial" w:hAnsi="Arial"/>
                <w:sz w:val="14"/>
                <w:szCs w:val="14"/>
                <w:color w:val="auto"/>
              </w:rPr>
              <w:t>71.3%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Other expenses</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(33,057)</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(27,943)</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(39,504)</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41.4%</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19.5%</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(143,900)</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(98,540)</w:t>
            </w:r>
          </w:p>
        </w:tc>
        <w:tc>
          <w:tcPr>
            <w:tcW w:w="11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Total expenses</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(1,195,261)</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(1,230,182)</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(1,278,446)</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3.9%</w:t>
            </w:r>
          </w:p>
        </w:tc>
        <w:tc>
          <w:tcPr>
            <w:tcW w:w="2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7.0%</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(3,476,854)</w:t>
            </w: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7"/>
              </w:rPr>
              <w:t>(3,667,611)</w:t>
            </w:r>
          </w:p>
        </w:tc>
        <w:tc>
          <w:tcPr>
            <w:tcW w:w="11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Profit before income tax</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1,146,333</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1,244,322</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1,276,901</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11.4%</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3,565,483</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3,815,664</w:t>
            </w:r>
          </w:p>
        </w:tc>
        <w:tc>
          <w:tcPr>
            <w:tcW w:w="11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160"/>
              <w:spacing w:after="0" w:line="149" w:lineRule="exact"/>
              <w:rPr>
                <w:sz w:val="20"/>
                <w:szCs w:val="20"/>
                <w:color w:val="auto"/>
              </w:rPr>
            </w:pPr>
            <w:r>
              <w:rPr>
                <w:rFonts w:ascii="Arial" w:cs="Arial" w:eastAsia="Arial" w:hAnsi="Arial"/>
                <w:sz w:val="14"/>
                <w:szCs w:val="14"/>
                <w:color w:val="auto"/>
              </w:rPr>
              <w:t>Income tax</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(311,995)</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(335,202)</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(326,799)</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w:t>
            </w: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4.7%</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(988,689)</w:t>
            </w: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7"/>
              </w:rPr>
              <w:t>(1,018,887)</w:t>
            </w:r>
          </w:p>
        </w:tc>
        <w:tc>
          <w:tcPr>
            <w:tcW w:w="11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profit</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834,338</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909,120</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950,102</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4.5%</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13.9%</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2,576,794</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2,796,777</w:t>
            </w:r>
          </w:p>
        </w:tc>
        <w:tc>
          <w:tcPr>
            <w:tcW w:w="11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color w:val="auto"/>
              </w:rPr>
              <w:t>Non-controlling interest</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(4,563)</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(4,844)</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(4,729)</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w:t>
            </w: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3.6%</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(18,372)</w:t>
            </w: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(14,504)</w:t>
            </w:r>
          </w:p>
        </w:tc>
        <w:tc>
          <w:tcPr>
            <w:tcW w:w="11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profit attributable to BCP Consolidated</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829,775</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904,276</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945,373</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4.5%</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13.9%</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2,558,422</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2,782,273</w:t>
            </w:r>
          </w:p>
        </w:tc>
        <w:tc>
          <w:tcPr>
            <w:tcW w:w="11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As of 2019, financing expenses related to lease agreements is included according to the application of IFRS 16.</w:t>
      </w:r>
    </w:p>
    <w:p>
      <w:pPr>
        <w:spacing w:after="0" w:line="23" w:lineRule="exact"/>
        <w:rPr>
          <w:rFonts w:ascii="Arial" w:cs="Arial" w:eastAsia="Arial" w:hAnsi="Arial"/>
          <w:sz w:val="18"/>
          <w:szCs w:val="18"/>
          <w:color w:val="auto"/>
        </w:rPr>
      </w:pPr>
    </w:p>
    <w:p>
      <w:pPr>
        <w:ind w:right="20" w:firstLine="8"/>
        <w:spacing w:after="0" w:line="290" w:lineRule="auto"/>
        <w:tabs>
          <w:tab w:leader="none" w:pos="268" w:val="left"/>
        </w:tabs>
        <w:numPr>
          <w:ilvl w:val="0"/>
          <w:numId w:val="86"/>
        </w:numPr>
        <w:rPr>
          <w:rFonts w:ascii="Arial" w:cs="Arial" w:eastAsia="Arial" w:hAnsi="Arial"/>
          <w:sz w:val="17"/>
          <w:szCs w:val="17"/>
          <w:color w:val="auto"/>
        </w:rPr>
      </w:pPr>
      <w:r>
        <w:rPr>
          <w:rFonts w:ascii="Arial" w:cs="Arial" w:eastAsia="Arial" w:hAnsi="Arial"/>
          <w:sz w:val="17"/>
          <w:szCs w:val="17"/>
          <w:color w:val="auto"/>
        </w:rPr>
        <w:t>From this quarter, the effect is being incorporated by the application of IFRS 16, which corresponds to a greater depreciation for the asset for right-of-use". Likewise, the expenses related to the depreciation of improvements in building for rent is being reclassified to the item "Other expenses".</w:t>
      </w:r>
    </w:p>
    <w:p>
      <w:pPr>
        <w:spacing w:after="0" w:line="3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INDICATORS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Quarter</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gridSpan w:val="3"/>
          </w:tcPr>
          <w:p>
            <w:pPr>
              <w:ind w:left="1080"/>
              <w:spacing w:after="0"/>
              <w:rPr>
                <w:sz w:val="20"/>
                <w:szCs w:val="20"/>
                <w:color w:val="auto"/>
              </w:rPr>
            </w:pPr>
            <w:r>
              <w:rPr>
                <w:rFonts w:ascii="Arial" w:cs="Arial" w:eastAsia="Arial" w:hAnsi="Arial"/>
                <w:sz w:val="18"/>
                <w:szCs w:val="18"/>
                <w:b w:val="1"/>
                <w:bCs w:val="1"/>
                <w:color w:val="auto"/>
              </w:rPr>
              <w:t>YTD</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3Q18</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2Q19</w:t>
            </w:r>
          </w:p>
        </w:tc>
        <w:tc>
          <w:tcPr>
            <w:tcW w:w="14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3Q19</w:t>
            </w:r>
          </w:p>
        </w:tc>
        <w:tc>
          <w:tcPr>
            <w:tcW w:w="1580" w:type="dxa"/>
            <w:vAlign w:val="bottom"/>
            <w:gridSpan w:val="3"/>
          </w:tcPr>
          <w:p>
            <w:pPr>
              <w:ind w:left="320"/>
              <w:spacing w:after="0"/>
              <w:rPr>
                <w:sz w:val="20"/>
                <w:szCs w:val="20"/>
                <w:color w:val="auto"/>
              </w:rPr>
            </w:pPr>
            <w:r>
              <w:rPr>
                <w:rFonts w:ascii="Arial" w:cs="Arial" w:eastAsia="Arial" w:hAnsi="Arial"/>
                <w:sz w:val="18"/>
                <w:szCs w:val="18"/>
                <w:b w:val="1"/>
                <w:bCs w:val="1"/>
                <w:color w:val="auto"/>
              </w:rPr>
              <w:t>Sep 18</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Sep 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Profitability</w:t>
            </w: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tcPr>
          <w:p>
            <w:pPr>
              <w:spacing w:after="0" w:line="256" w:lineRule="exact"/>
              <w:rPr>
                <w:sz w:val="20"/>
                <w:szCs w:val="20"/>
                <w:color w:val="auto"/>
              </w:rPr>
            </w:pPr>
            <w:r>
              <w:rPr>
                <w:rFonts w:ascii="Arial" w:cs="Arial" w:eastAsia="Arial" w:hAnsi="Arial"/>
                <w:sz w:val="18"/>
                <w:szCs w:val="18"/>
                <w:color w:val="auto"/>
              </w:rPr>
              <w:t xml:space="preserve">Earnings per share </w:t>
            </w:r>
            <w:r>
              <w:rPr>
                <w:rFonts w:ascii="Arial" w:cs="Arial" w:eastAsia="Arial" w:hAnsi="Arial"/>
                <w:sz w:val="29"/>
                <w:szCs w:val="29"/>
                <w:color w:val="auto"/>
                <w:vertAlign w:val="superscript"/>
              </w:rPr>
              <w:t>(1)</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0.081</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0.089</w:t>
            </w:r>
          </w:p>
        </w:tc>
        <w:tc>
          <w:tcPr>
            <w:tcW w:w="1120" w:type="dxa"/>
            <w:vAlign w:val="bottom"/>
          </w:tcPr>
          <w:p>
            <w:pPr>
              <w:jc w:val="right"/>
              <w:spacing w:after="0"/>
              <w:rPr>
                <w:sz w:val="20"/>
                <w:szCs w:val="20"/>
                <w:color w:val="auto"/>
              </w:rPr>
            </w:pPr>
            <w:r>
              <w:rPr>
                <w:rFonts w:ascii="Arial" w:cs="Arial" w:eastAsia="Arial" w:hAnsi="Arial"/>
                <w:sz w:val="18"/>
                <w:szCs w:val="18"/>
                <w:color w:val="auto"/>
              </w:rPr>
              <w:t>0.093</w:t>
            </w:r>
          </w:p>
        </w:tc>
        <w:tc>
          <w:tcPr>
            <w:tcW w:w="280" w:type="dxa"/>
            <w:vAlign w:val="bottom"/>
          </w:tcPr>
          <w:p>
            <w:pPr>
              <w:spacing w:after="0"/>
              <w:rPr>
                <w:sz w:val="22"/>
                <w:szCs w:val="22"/>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0.250</w:t>
            </w:r>
          </w:p>
        </w:tc>
        <w:tc>
          <w:tcPr>
            <w:tcW w:w="18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0.272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shd w:val="clear" w:color="auto" w:fill="CCEEFF"/>
          </w:tcPr>
          <w:p>
            <w:pPr>
              <w:spacing w:after="0" w:line="256" w:lineRule="exact"/>
              <w:rPr>
                <w:sz w:val="20"/>
                <w:szCs w:val="20"/>
                <w:color w:val="auto"/>
              </w:rPr>
            </w:pPr>
            <w:r>
              <w:rPr>
                <w:rFonts w:ascii="Arial" w:cs="Arial" w:eastAsia="Arial" w:hAnsi="Arial"/>
                <w:sz w:val="29"/>
                <w:szCs w:val="29"/>
                <w:color w:val="auto"/>
                <w:vertAlign w:val="subscript"/>
              </w:rPr>
              <w:t>ROAA</w:t>
            </w:r>
            <w:r>
              <w:rPr>
                <w:rFonts w:ascii="Arial" w:cs="Arial" w:eastAsia="Arial" w:hAnsi="Arial"/>
                <w:sz w:val="13"/>
                <w:szCs w:val="13"/>
                <w:color w:val="auto"/>
              </w:rPr>
              <w:t>(2)(3)</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tcPr>
          <w:p>
            <w:pPr>
              <w:spacing w:after="0" w:line="256" w:lineRule="exact"/>
              <w:rPr>
                <w:sz w:val="20"/>
                <w:szCs w:val="20"/>
                <w:color w:val="auto"/>
              </w:rPr>
            </w:pPr>
            <w:r>
              <w:rPr>
                <w:rFonts w:ascii="Arial" w:cs="Arial" w:eastAsia="Arial" w:hAnsi="Arial"/>
                <w:sz w:val="29"/>
                <w:szCs w:val="29"/>
                <w:color w:val="auto"/>
                <w:vertAlign w:val="subscript"/>
              </w:rPr>
              <w:t>ROAE</w:t>
            </w:r>
            <w:r>
              <w:rPr>
                <w:rFonts w:ascii="Arial" w:cs="Arial" w:eastAsia="Arial" w:hAnsi="Arial"/>
                <w:sz w:val="13"/>
                <w:szCs w:val="13"/>
                <w:color w:val="auto"/>
              </w:rPr>
              <w:t>(2)(3)</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21.1%</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21.2%</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21.3%</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21.6%</w:t>
            </w:r>
          </w:p>
        </w:tc>
        <w:tc>
          <w:tcPr>
            <w:tcW w:w="180" w:type="dxa"/>
            <w:vAlign w:val="bottom"/>
          </w:tcPr>
          <w:p>
            <w:pPr>
              <w:spacing w:after="0"/>
              <w:rPr>
                <w:sz w:val="22"/>
                <w:szCs w:val="22"/>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Net interest margin </w:t>
            </w:r>
            <w:r>
              <w:rPr>
                <w:rFonts w:ascii="Arial" w:cs="Arial" w:eastAsia="Arial" w:hAnsi="Arial"/>
                <w:sz w:val="29"/>
                <w:szCs w:val="29"/>
                <w:color w:val="auto"/>
                <w:vertAlign w:val="superscript"/>
              </w:rPr>
              <w:t>(2)(3)</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5.82%</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5.79%</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5.67%</w:t>
            </w:r>
          </w:p>
        </w:tc>
        <w:tc>
          <w:tcPr>
            <w:tcW w:w="18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tcPr>
          <w:p>
            <w:pPr>
              <w:spacing w:after="0" w:line="256" w:lineRule="exact"/>
              <w:rPr>
                <w:sz w:val="20"/>
                <w:szCs w:val="20"/>
                <w:color w:val="auto"/>
              </w:rPr>
            </w:pPr>
            <w:r>
              <w:rPr>
                <w:rFonts w:ascii="Arial" w:cs="Arial" w:eastAsia="Arial" w:hAnsi="Arial"/>
                <w:sz w:val="18"/>
                <w:szCs w:val="18"/>
                <w:color w:val="auto"/>
              </w:rPr>
              <w:t xml:space="preserve">Risk adjusted NIM </w:t>
            </w:r>
            <w:r>
              <w:rPr>
                <w:rFonts w:ascii="Arial" w:cs="Arial" w:eastAsia="Arial" w:hAnsi="Arial"/>
                <w:sz w:val="29"/>
                <w:szCs w:val="29"/>
                <w:color w:val="auto"/>
                <w:vertAlign w:val="superscript"/>
              </w:rPr>
              <w:t>(2)(3)</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4.62%</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4.56%</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4.40%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4.57%</w:t>
            </w:r>
          </w:p>
        </w:tc>
        <w:tc>
          <w:tcPr>
            <w:tcW w:w="180" w:type="dxa"/>
            <w:vAlign w:val="bottom"/>
          </w:tcPr>
          <w:p>
            <w:pPr>
              <w:spacing w:after="0"/>
              <w:rPr>
                <w:sz w:val="22"/>
                <w:szCs w:val="22"/>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Funding Cost </w:t>
            </w:r>
            <w:r>
              <w:rPr>
                <w:rFonts w:ascii="Arial" w:cs="Arial" w:eastAsia="Arial" w:hAnsi="Arial"/>
                <w:sz w:val="29"/>
                <w:szCs w:val="29"/>
                <w:color w:val="auto"/>
                <w:vertAlign w:val="superscript"/>
              </w:rPr>
              <w:t>(2)(3)(4)</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w:t>
            </w:r>
          </w:p>
        </w:tc>
        <w:tc>
          <w:tcPr>
            <w:tcW w:w="18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Quality of loan portfolio</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IOL ratio</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3.19%</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3.15%</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3.11%</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3.19%</w:t>
            </w:r>
          </w:p>
        </w:tc>
        <w:tc>
          <w:tcPr>
            <w:tcW w:w="1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NPL ratio</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4.34%</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4.29%</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4.39%</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Coverage of IOLs</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153.7%</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147.6%</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148.6%</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153.7%</w:t>
            </w:r>
          </w:p>
        </w:tc>
        <w:tc>
          <w:tcPr>
            <w:tcW w:w="1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Coverage of NPLs</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107.1%</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107.8%</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111.5%</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tcPr>
          <w:p>
            <w:pPr>
              <w:spacing w:after="0" w:line="256" w:lineRule="exact"/>
              <w:rPr>
                <w:sz w:val="20"/>
                <w:szCs w:val="20"/>
                <w:color w:val="auto"/>
              </w:rPr>
            </w:pPr>
            <w:r>
              <w:rPr>
                <w:rFonts w:ascii="Arial" w:cs="Arial" w:eastAsia="Arial" w:hAnsi="Arial"/>
                <w:sz w:val="18"/>
                <w:szCs w:val="18"/>
                <w:color w:val="auto"/>
              </w:rPr>
              <w:t xml:space="preserve">Cost of risk </w:t>
            </w:r>
            <w:r>
              <w:rPr>
                <w:rFonts w:ascii="Arial" w:cs="Arial" w:eastAsia="Arial" w:hAnsi="Arial"/>
                <w:sz w:val="29"/>
                <w:szCs w:val="29"/>
                <w:color w:val="auto"/>
                <w:vertAlign w:val="superscript"/>
              </w:rPr>
              <w:t>(5)</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1.77%</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1.74%</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1.93%</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1.51%</w:t>
            </w:r>
          </w:p>
        </w:tc>
        <w:tc>
          <w:tcPr>
            <w:tcW w:w="180" w:type="dxa"/>
            <w:vAlign w:val="bottom"/>
          </w:tcPr>
          <w:p>
            <w:pPr>
              <w:spacing w:after="0"/>
              <w:rPr>
                <w:sz w:val="22"/>
                <w:szCs w:val="22"/>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b w:val="1"/>
                <w:bCs w:val="1"/>
                <w:color w:val="auto"/>
              </w:rPr>
              <w:t>Operating efficiency</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w w:val="95"/>
              </w:rPr>
              <w:t xml:space="preserve">Oper. expenses as a percent. of total income - reported </w:t>
            </w:r>
            <w:r>
              <w:rPr>
                <w:rFonts w:ascii="Arial" w:cs="Arial" w:eastAsia="Arial" w:hAnsi="Arial"/>
                <w:sz w:val="29"/>
                <w:szCs w:val="29"/>
                <w:color w:val="auto"/>
                <w:w w:val="95"/>
                <w:vertAlign w:val="superscript"/>
              </w:rPr>
              <w:t>(6)</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42.3%</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42.9%</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42.0%</w:t>
            </w:r>
          </w:p>
        </w:tc>
        <w:tc>
          <w:tcPr>
            <w:tcW w:w="18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20" w:type="dxa"/>
            <w:vAlign w:val="bottom"/>
          </w:tcPr>
          <w:p>
            <w:pPr>
              <w:spacing w:after="0" w:line="201" w:lineRule="exact"/>
              <w:rPr>
                <w:sz w:val="20"/>
                <w:szCs w:val="20"/>
                <w:color w:val="auto"/>
              </w:rPr>
            </w:pPr>
            <w:r>
              <w:rPr>
                <w:rFonts w:ascii="Arial" w:cs="Arial" w:eastAsia="Arial" w:hAnsi="Arial"/>
                <w:sz w:val="18"/>
                <w:szCs w:val="18"/>
                <w:color w:val="auto"/>
                <w:w w:val="96"/>
              </w:rPr>
              <w:t>Oper. expenses as a percent. of total income - including all</w:t>
            </w: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other items</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43.2%</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42.3%</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41.9%</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42.8%</w:t>
            </w:r>
          </w:p>
        </w:tc>
        <w:tc>
          <w:tcPr>
            <w:tcW w:w="18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Oper. expenses as a percent. of av. tot. assets </w:t>
            </w:r>
            <w:r>
              <w:rPr>
                <w:rFonts w:ascii="Arial" w:cs="Arial" w:eastAsia="Arial" w:hAnsi="Arial"/>
                <w:sz w:val="29"/>
                <w:szCs w:val="29"/>
                <w:color w:val="auto"/>
                <w:vertAlign w:val="superscript"/>
              </w:rPr>
              <w:t>(2)(3)(6)</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3.32%</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3.23%</w:t>
            </w:r>
          </w:p>
        </w:tc>
        <w:tc>
          <w:tcPr>
            <w:tcW w:w="18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52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Capital adequacy </w:t>
            </w:r>
            <w:r>
              <w:rPr>
                <w:rFonts w:ascii="Arial" w:cs="Arial" w:eastAsia="Arial" w:hAnsi="Arial"/>
                <w:sz w:val="29"/>
                <w:szCs w:val="29"/>
                <w:b w:val="1"/>
                <w:bCs w:val="1"/>
                <w:color w:val="auto"/>
                <w:vertAlign w:val="superscript"/>
              </w:rPr>
              <w:t>(7)</w:t>
            </w:r>
          </w:p>
        </w:tc>
        <w:tc>
          <w:tcPr>
            <w:tcW w:w="1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Total regulatory capital (S/ Million)</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17,493</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19,138</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20,149</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17,493</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20,149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Tier 1 capital (S/ Million) </w:t>
            </w:r>
            <w:r>
              <w:rPr>
                <w:rFonts w:ascii="Arial" w:cs="Arial" w:eastAsia="Arial" w:hAnsi="Arial"/>
                <w:sz w:val="29"/>
                <w:szCs w:val="29"/>
                <w:color w:val="auto"/>
                <w:vertAlign w:val="superscript"/>
              </w:rPr>
              <w:t>(8)</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12,831</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14,504</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15,371</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12,831</w:t>
            </w:r>
          </w:p>
        </w:tc>
        <w:tc>
          <w:tcPr>
            <w:tcW w:w="18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15,371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tcPr>
          <w:p>
            <w:pPr>
              <w:spacing w:after="0" w:line="256" w:lineRule="exact"/>
              <w:rPr>
                <w:sz w:val="20"/>
                <w:szCs w:val="20"/>
                <w:color w:val="auto"/>
              </w:rPr>
            </w:pPr>
            <w:r>
              <w:rPr>
                <w:rFonts w:ascii="Arial" w:cs="Arial" w:eastAsia="Arial" w:hAnsi="Arial"/>
                <w:sz w:val="18"/>
                <w:szCs w:val="18"/>
                <w:color w:val="auto"/>
              </w:rPr>
              <w:t xml:space="preserve">Common equity tier 1 ratio </w:t>
            </w:r>
            <w:r>
              <w:rPr>
                <w:rFonts w:ascii="Arial" w:cs="Arial" w:eastAsia="Arial" w:hAnsi="Arial"/>
                <w:sz w:val="29"/>
                <w:szCs w:val="29"/>
                <w:color w:val="auto"/>
                <w:vertAlign w:val="superscript"/>
              </w:rPr>
              <w:t>(9)</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11.61%</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11.82%</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11.95%</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11.61%</w:t>
            </w:r>
          </w:p>
        </w:tc>
        <w:tc>
          <w:tcPr>
            <w:tcW w:w="180" w:type="dxa"/>
            <w:vAlign w:val="bottom"/>
          </w:tcPr>
          <w:p>
            <w:pPr>
              <w:spacing w:after="0"/>
              <w:rPr>
                <w:sz w:val="22"/>
                <w:szCs w:val="22"/>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11.95%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BIS ratio </w:t>
            </w:r>
            <w:r>
              <w:rPr>
                <w:rFonts w:ascii="Arial" w:cs="Arial" w:eastAsia="Arial" w:hAnsi="Arial"/>
                <w:sz w:val="29"/>
                <w:szCs w:val="29"/>
                <w:color w:val="auto"/>
                <w:vertAlign w:val="superscript"/>
              </w:rPr>
              <w:t>(10)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14.95%</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15.45%</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14.94%</w:t>
            </w:r>
          </w:p>
        </w:tc>
        <w:tc>
          <w:tcPr>
            <w:tcW w:w="18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 Information</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 of outstanding shares (Million)</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10,217</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10,217</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10,217</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10,217.39</w:t>
            </w:r>
          </w:p>
        </w:tc>
        <w:tc>
          <w:tcPr>
            <w:tcW w:w="1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10,217.39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60" w:hanging="252"/>
        <w:spacing w:after="0"/>
        <w:tabs>
          <w:tab w:leader="none" w:pos="2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Shares outstanding of 10,217 million is used for all periods since shares have been issued only for capitalization of profits.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9" w:lineRule="exact"/>
        <w:rPr>
          <w:rFonts w:ascii="Arial" w:cs="Arial" w:eastAsia="Arial" w:hAnsi="Arial"/>
          <w:sz w:val="18"/>
          <w:szCs w:val="18"/>
          <w:color w:val="auto"/>
        </w:rPr>
      </w:pPr>
    </w:p>
    <w:p>
      <w:pPr>
        <w:ind w:firstLine="8"/>
        <w:spacing w:after="0" w:line="265" w:lineRule="auto"/>
        <w:tabs>
          <w:tab w:leader="none" w:pos="273"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funding costs differs from previously reported due to a methodoloy change in the denominator, which no longer includes the following accounts: acceptances outstanding, reserves for property and casualty claims, reserve for unearned premiums, reinsurance payable and other liabilities.</w:t>
      </w:r>
    </w:p>
    <w:p>
      <w:pPr>
        <w:ind w:left="260" w:hanging="252"/>
        <w:spacing w:after="0"/>
        <w:tabs>
          <w:tab w:leader="none" w:pos="2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Cost of risk: Annualized provision for loan losses / Total loans.</w:t>
      </w:r>
    </w:p>
    <w:p>
      <w:pPr>
        <w:spacing w:after="0" w:line="9" w:lineRule="exact"/>
        <w:rPr>
          <w:rFonts w:ascii="Arial" w:cs="Arial" w:eastAsia="Arial" w:hAnsi="Arial"/>
          <w:sz w:val="18"/>
          <w:szCs w:val="18"/>
          <w:color w:val="auto"/>
        </w:rPr>
      </w:pPr>
    </w:p>
    <w:p>
      <w:pPr>
        <w:ind w:firstLine="8"/>
        <w:spacing w:after="0" w:line="265" w:lineRule="auto"/>
        <w:tabs>
          <w:tab w:leader="none" w:pos="292" w:val="left"/>
        </w:tabs>
        <w:numPr>
          <w:ilvl w:val="0"/>
          <w:numId w:val="87"/>
        </w:numPr>
        <w:rPr>
          <w:rFonts w:ascii="Arial" w:cs="Arial" w:eastAsia="Arial" w:hAnsi="Arial"/>
          <w:sz w:val="17"/>
          <w:szCs w:val="17"/>
          <w:color w:val="auto"/>
        </w:rPr>
      </w:pPr>
      <w:r>
        <w:rPr>
          <w:rFonts w:ascii="Arial" w:cs="Arial" w:eastAsia="Arial" w:hAnsi="Arial"/>
          <w:sz w:val="17"/>
          <w:szCs w:val="17"/>
          <w:color w:val="auto"/>
        </w:rPr>
        <w:t>Total income includes net interest income, fee income, net gain on foreign exchange transactions, result on exchange difference and net gain on derivatives. Operating expenses includes Salaries and social benefits, administrative, general and tax expenses and depreciation and amortization.</w:t>
      </w:r>
    </w:p>
    <w:p>
      <w:pPr>
        <w:ind w:left="260" w:hanging="252"/>
        <w:spacing w:after="0"/>
        <w:tabs>
          <w:tab w:leader="none" w:pos="2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All capital ratios are for BCP Stand-alone and based on Peru GAAP</w:t>
      </w:r>
    </w:p>
    <w:p>
      <w:pPr>
        <w:spacing w:after="0" w:line="9" w:lineRule="exact"/>
        <w:rPr>
          <w:rFonts w:ascii="Arial" w:cs="Arial" w:eastAsia="Arial" w:hAnsi="Arial"/>
          <w:sz w:val="18"/>
          <w:szCs w:val="18"/>
          <w:color w:val="auto"/>
        </w:rPr>
      </w:pPr>
    </w:p>
    <w:p>
      <w:pPr>
        <w:jc w:val="both"/>
        <w:ind w:firstLine="8"/>
        <w:spacing w:after="0" w:line="265" w:lineRule="auto"/>
        <w:tabs>
          <w:tab w:leader="none" w:pos="29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Tier 1 = Capital + Legal and other capital reserves + Accumulated earnings with capitalization agreement +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firstLine="8"/>
        <w:spacing w:after="0" w:line="250" w:lineRule="auto"/>
        <w:tabs>
          <w:tab w:leader="none" w:pos="256"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Common Equity Tier I = Capital + Reserves – 100% of applicable deductions (investment in subsidiaries, goodwill, intangibles and net deferred taxes that rely on future profitability) + retained earnings + unrealized gains.</w:t>
      </w:r>
    </w:p>
    <w:p>
      <w:pPr>
        <w:ind w:left="360" w:hanging="352"/>
        <w:spacing w:after="0"/>
        <w:tabs>
          <w:tab w:leader="none" w:pos="3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Regulatory capital/ risk-weighted assets. Risk weighted assets include market risk and operational risk.</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11.3. Mibanco</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MIBANCO </w:t>
      </w:r>
      <w:r>
        <w:rPr>
          <w:rFonts w:ascii="Arial" w:cs="Arial" w:eastAsia="Arial" w:hAnsi="Arial"/>
          <w:sz w:val="30"/>
          <w:szCs w:val="30"/>
          <w:b w:val="1"/>
          <w:bCs w:val="1"/>
          <w:color w:val="auto"/>
          <w:vertAlign w:val="superscript"/>
        </w:rPr>
        <w:t>(1)</w:t>
      </w: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4"/>
          </w:tcPr>
          <w:p>
            <w:pPr>
              <w:ind w:left="260"/>
              <w:spacing w:after="0"/>
              <w:rPr>
                <w:sz w:val="20"/>
                <w:szCs w:val="20"/>
                <w:color w:val="auto"/>
              </w:rPr>
            </w:pPr>
            <w:r>
              <w:rPr>
                <w:rFonts w:ascii="Arial" w:cs="Arial" w:eastAsia="Arial" w:hAnsi="Arial"/>
                <w:sz w:val="14"/>
                <w:szCs w:val="14"/>
                <w:b w:val="1"/>
                <w:bCs w:val="1"/>
                <w:color w:val="auto"/>
              </w:rPr>
              <w:t>As of</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5"/>
          </w:tcPr>
          <w:p>
            <w:pPr>
              <w:ind w:left="720"/>
              <w:spacing w:after="0"/>
              <w:rPr>
                <w:sz w:val="20"/>
                <w:szCs w:val="20"/>
                <w:color w:val="auto"/>
              </w:rPr>
            </w:pPr>
            <w:r>
              <w:rPr>
                <w:rFonts w:ascii="Arial" w:cs="Arial" w:eastAsia="Arial" w:hAnsi="Arial"/>
                <w:sz w:val="14"/>
                <w:szCs w:val="14"/>
                <w:b w:val="1"/>
                <w:bCs w:val="1"/>
                <w:color w:val="auto"/>
                <w:w w:val="94"/>
              </w:rPr>
              <w:t>% change</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4"/>
          </w:tcPr>
          <w:p>
            <w:pPr>
              <w:ind w:left="260"/>
              <w:spacing w:after="0"/>
              <w:rPr>
                <w:sz w:val="20"/>
                <w:szCs w:val="20"/>
                <w:color w:val="auto"/>
              </w:rPr>
            </w:pPr>
            <w:r>
              <w:rPr>
                <w:rFonts w:ascii="Arial" w:cs="Arial" w:eastAsia="Arial" w:hAnsi="Arial"/>
                <w:sz w:val="14"/>
                <w:szCs w:val="14"/>
                <w:b w:val="1"/>
                <w:bCs w:val="1"/>
                <w:color w:val="auto"/>
              </w:rPr>
              <w:t>Sep 18</w:t>
            </w:r>
          </w:p>
        </w:tc>
        <w:tc>
          <w:tcPr>
            <w:tcW w:w="1120" w:type="dxa"/>
            <w:vAlign w:val="bottom"/>
            <w:gridSpan w:val="4"/>
          </w:tcPr>
          <w:p>
            <w:pPr>
              <w:ind w:left="240"/>
              <w:spacing w:after="0"/>
              <w:rPr>
                <w:sz w:val="20"/>
                <w:szCs w:val="20"/>
                <w:color w:val="auto"/>
              </w:rPr>
            </w:pPr>
            <w:r>
              <w:rPr>
                <w:rFonts w:ascii="Arial" w:cs="Arial" w:eastAsia="Arial" w:hAnsi="Arial"/>
                <w:sz w:val="14"/>
                <w:szCs w:val="14"/>
                <w:b w:val="1"/>
                <w:bCs w:val="1"/>
                <w:color w:val="auto"/>
              </w:rPr>
              <w:t>Jun 19</w:t>
            </w:r>
          </w:p>
        </w:tc>
        <w:tc>
          <w:tcPr>
            <w:tcW w:w="1120" w:type="dxa"/>
            <w:vAlign w:val="bottom"/>
            <w:gridSpan w:val="4"/>
          </w:tcPr>
          <w:p>
            <w:pPr>
              <w:ind w:left="240"/>
              <w:spacing w:after="0"/>
              <w:rPr>
                <w:sz w:val="20"/>
                <w:szCs w:val="20"/>
                <w:color w:val="auto"/>
              </w:rPr>
            </w:pPr>
            <w:r>
              <w:rPr>
                <w:rFonts w:ascii="Arial" w:cs="Arial" w:eastAsia="Arial" w:hAnsi="Arial"/>
                <w:sz w:val="14"/>
                <w:szCs w:val="14"/>
                <w:b w:val="1"/>
                <w:bCs w:val="1"/>
                <w:color w:val="auto"/>
              </w:rPr>
              <w:t>Sep 19</w:t>
            </w:r>
          </w:p>
        </w:tc>
        <w:tc>
          <w:tcPr>
            <w:tcW w:w="1360" w:type="dxa"/>
            <w:vAlign w:val="bottom"/>
            <w:gridSpan w:val="5"/>
          </w:tcPr>
          <w:p>
            <w:pPr>
              <w:ind w:left="300"/>
              <w:spacing w:after="0"/>
              <w:rPr>
                <w:sz w:val="20"/>
                <w:szCs w:val="20"/>
                <w:color w:val="auto"/>
              </w:rPr>
            </w:pPr>
            <w:r>
              <w:rPr>
                <w:rFonts w:ascii="Arial" w:cs="Arial" w:eastAsia="Arial" w:hAnsi="Arial"/>
                <w:sz w:val="14"/>
                <w:szCs w:val="14"/>
                <w:b w:val="1"/>
                <w:bCs w:val="1"/>
                <w:color w:val="auto"/>
              </w:rPr>
              <w:t>QoQ</w:t>
            </w:r>
          </w:p>
        </w:tc>
        <w:tc>
          <w:tcPr>
            <w:tcW w:w="8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YoY</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gridSpan w:val="3"/>
          </w:tcPr>
          <w:p>
            <w:pPr>
              <w:spacing w:after="0"/>
              <w:rPr>
                <w:sz w:val="20"/>
                <w:szCs w:val="20"/>
                <w:color w:val="auto"/>
              </w:rPr>
            </w:pPr>
            <w:r>
              <w:rPr>
                <w:rFonts w:ascii="Arial" w:cs="Arial" w:eastAsia="Arial" w:hAnsi="Arial"/>
                <w:sz w:val="14"/>
                <w:szCs w:val="14"/>
                <w:color w:val="auto"/>
              </w:rPr>
              <w:t>Cash and due from banks</w:t>
            </w:r>
          </w:p>
        </w:tc>
        <w:tc>
          <w:tcPr>
            <w:tcW w:w="1080" w:type="dxa"/>
            <w:vAlign w:val="bottom"/>
            <w:gridSpan w:val="3"/>
          </w:tcPr>
          <w:p>
            <w:pPr>
              <w:jc w:val="right"/>
              <w:ind w:right="160"/>
              <w:spacing w:after="0"/>
              <w:rPr>
                <w:sz w:val="20"/>
                <w:szCs w:val="20"/>
                <w:color w:val="auto"/>
              </w:rPr>
            </w:pPr>
            <w:r>
              <w:rPr>
                <w:rFonts w:ascii="Arial" w:cs="Arial" w:eastAsia="Arial" w:hAnsi="Arial"/>
                <w:sz w:val="14"/>
                <w:szCs w:val="14"/>
                <w:color w:val="auto"/>
              </w:rPr>
              <w:t>922,284</w:t>
            </w:r>
          </w:p>
        </w:tc>
        <w:tc>
          <w:tcPr>
            <w:tcW w:w="10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4"/>
                <w:szCs w:val="14"/>
                <w:color w:val="auto"/>
              </w:rPr>
              <w:t>1,021,867</w:t>
            </w: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1,138,736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4"/>
                <w:szCs w:val="14"/>
                <w:color w:val="auto"/>
              </w:rPr>
              <w:t>11.4%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4"/>
                <w:szCs w:val="14"/>
                <w:color w:val="auto"/>
              </w:rPr>
              <w:t>23.5%</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Investments</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2,008,445</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1,807,917</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1,608,428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-11.0%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-19.9%</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3"/>
          </w:tcPr>
          <w:p>
            <w:pPr>
              <w:spacing w:after="0"/>
              <w:rPr>
                <w:sz w:val="20"/>
                <w:szCs w:val="20"/>
                <w:color w:val="auto"/>
              </w:rPr>
            </w:pPr>
            <w:r>
              <w:rPr>
                <w:rFonts w:ascii="Arial" w:cs="Arial" w:eastAsia="Arial" w:hAnsi="Arial"/>
                <w:sz w:val="14"/>
                <w:szCs w:val="14"/>
                <w:b w:val="1"/>
                <w:bCs w:val="1"/>
                <w:color w:val="auto"/>
              </w:rPr>
              <w:t>Total loans</w:t>
            </w:r>
          </w:p>
        </w:tc>
        <w:tc>
          <w:tcPr>
            <w:tcW w:w="10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9,785,229</w:t>
            </w:r>
          </w:p>
        </w:tc>
        <w:tc>
          <w:tcPr>
            <w:tcW w:w="10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10,256,643</w:t>
            </w: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10,348,630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0.9%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5.8%</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Current</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9,133,812</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9,591,920</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9,680,999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6.0%</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tcPr>
          <w:p>
            <w:pPr>
              <w:ind w:left="180"/>
              <w:spacing w:after="0"/>
              <w:rPr>
                <w:sz w:val="20"/>
                <w:szCs w:val="20"/>
                <w:color w:val="auto"/>
              </w:rPr>
            </w:pPr>
            <w:r>
              <w:rPr>
                <w:rFonts w:ascii="Arial" w:cs="Arial" w:eastAsia="Arial" w:hAnsi="Arial"/>
                <w:sz w:val="14"/>
                <w:szCs w:val="14"/>
                <w:color w:val="auto"/>
              </w:rPr>
              <w:t>Internal overdue loans</w:t>
            </w:r>
          </w:p>
        </w:tc>
        <w:tc>
          <w:tcPr>
            <w:tcW w:w="1080" w:type="dxa"/>
            <w:vAlign w:val="bottom"/>
            <w:gridSpan w:val="3"/>
          </w:tcPr>
          <w:p>
            <w:pPr>
              <w:jc w:val="right"/>
              <w:ind w:right="160"/>
              <w:spacing w:after="0"/>
              <w:rPr>
                <w:sz w:val="20"/>
                <w:szCs w:val="20"/>
                <w:color w:val="auto"/>
              </w:rPr>
            </w:pPr>
            <w:r>
              <w:rPr>
                <w:rFonts w:ascii="Arial" w:cs="Arial" w:eastAsia="Arial" w:hAnsi="Arial"/>
                <w:sz w:val="14"/>
                <w:szCs w:val="14"/>
                <w:color w:val="auto"/>
              </w:rPr>
              <w:t>531,585</w:t>
            </w:r>
          </w:p>
        </w:tc>
        <w:tc>
          <w:tcPr>
            <w:tcW w:w="10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4"/>
                <w:szCs w:val="14"/>
                <w:color w:val="auto"/>
              </w:rPr>
              <w:t>548,278</w:t>
            </w:r>
          </w:p>
        </w:tc>
        <w:tc>
          <w:tcPr>
            <w:tcW w:w="8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4"/>
                <w:szCs w:val="14"/>
                <w:color w:val="auto"/>
              </w:rPr>
              <w:t>560,695</w:t>
            </w:r>
          </w:p>
        </w:tc>
        <w:tc>
          <w:tcPr>
            <w:tcW w:w="8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4"/>
                <w:szCs w:val="14"/>
                <w:color w:val="auto"/>
              </w:rPr>
              <w:t>5.5%</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Refinanced</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119,832</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116,445</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106,936</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-8.2%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-10.8%</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tcPr>
          <w:p>
            <w:pPr>
              <w:ind w:left="180"/>
              <w:spacing w:after="0"/>
              <w:rPr>
                <w:sz w:val="20"/>
                <w:szCs w:val="20"/>
                <w:color w:val="auto"/>
              </w:rPr>
            </w:pPr>
            <w:r>
              <w:rPr>
                <w:rFonts w:ascii="Arial" w:cs="Arial" w:eastAsia="Arial" w:hAnsi="Arial"/>
                <w:sz w:val="14"/>
                <w:szCs w:val="14"/>
                <w:color w:val="auto"/>
              </w:rPr>
              <w:t>Allowance for loan losses</w:t>
            </w:r>
          </w:p>
        </w:tc>
        <w:tc>
          <w:tcPr>
            <w:tcW w:w="1080" w:type="dxa"/>
            <w:vAlign w:val="bottom"/>
            <w:gridSpan w:val="3"/>
          </w:tcPr>
          <w:p>
            <w:pPr>
              <w:jc w:val="right"/>
              <w:ind w:right="160"/>
              <w:spacing w:after="0"/>
              <w:rPr>
                <w:sz w:val="20"/>
                <w:szCs w:val="20"/>
                <w:color w:val="auto"/>
              </w:rPr>
            </w:pPr>
            <w:r>
              <w:rPr>
                <w:rFonts w:ascii="Arial" w:cs="Arial" w:eastAsia="Arial" w:hAnsi="Arial"/>
                <w:sz w:val="14"/>
                <w:szCs w:val="14"/>
                <w:color w:val="auto"/>
              </w:rPr>
              <w:t>-913,037</w:t>
            </w:r>
          </w:p>
        </w:tc>
        <w:tc>
          <w:tcPr>
            <w:tcW w:w="10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4"/>
                <w:szCs w:val="14"/>
                <w:color w:val="auto"/>
              </w:rPr>
              <w:t>-909,004</w:t>
            </w:r>
          </w:p>
        </w:tc>
        <w:tc>
          <w:tcPr>
            <w:tcW w:w="8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4"/>
                <w:szCs w:val="14"/>
                <w:color w:val="auto"/>
              </w:rPr>
              <w:t>-925,705</w:t>
            </w:r>
          </w:p>
        </w:tc>
        <w:tc>
          <w:tcPr>
            <w:tcW w:w="8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4"/>
                <w:szCs w:val="14"/>
                <w:color w:val="auto"/>
              </w:rPr>
              <w:t>1.4%</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loans</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8,872,192</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9,347,640</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9,422,925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0.8%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6.2%</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3"/>
          </w:tcPr>
          <w:p>
            <w:pPr>
              <w:spacing w:after="0"/>
              <w:rPr>
                <w:sz w:val="20"/>
                <w:szCs w:val="20"/>
                <w:color w:val="auto"/>
              </w:rPr>
            </w:pPr>
            <w:r>
              <w:rPr>
                <w:rFonts w:ascii="Arial" w:cs="Arial" w:eastAsia="Arial" w:hAnsi="Arial"/>
                <w:sz w:val="14"/>
                <w:szCs w:val="14"/>
                <w:color w:val="auto"/>
              </w:rPr>
              <w:t>Property, plant and equipment, net</w:t>
            </w:r>
          </w:p>
        </w:tc>
        <w:tc>
          <w:tcPr>
            <w:tcW w:w="1080" w:type="dxa"/>
            <w:vAlign w:val="bottom"/>
            <w:gridSpan w:val="3"/>
          </w:tcPr>
          <w:p>
            <w:pPr>
              <w:jc w:val="right"/>
              <w:ind w:right="160"/>
              <w:spacing w:after="0"/>
              <w:rPr>
                <w:sz w:val="20"/>
                <w:szCs w:val="20"/>
                <w:color w:val="auto"/>
              </w:rPr>
            </w:pPr>
            <w:r>
              <w:rPr>
                <w:rFonts w:ascii="Arial" w:cs="Arial" w:eastAsia="Arial" w:hAnsi="Arial"/>
                <w:sz w:val="14"/>
                <w:szCs w:val="14"/>
                <w:color w:val="auto"/>
              </w:rPr>
              <w:t>174,951</w:t>
            </w:r>
          </w:p>
        </w:tc>
        <w:tc>
          <w:tcPr>
            <w:tcW w:w="10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4"/>
                <w:szCs w:val="14"/>
                <w:color w:val="auto"/>
              </w:rPr>
              <w:t>187,951</w:t>
            </w:r>
          </w:p>
        </w:tc>
        <w:tc>
          <w:tcPr>
            <w:tcW w:w="8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4"/>
                <w:szCs w:val="14"/>
                <w:color w:val="auto"/>
              </w:rPr>
              <w:t>177,728</w:t>
            </w:r>
          </w:p>
        </w:tc>
        <w:tc>
          <w:tcPr>
            <w:tcW w:w="8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4"/>
                <w:szCs w:val="14"/>
                <w:color w:val="auto"/>
              </w:rPr>
              <w:t>-5.4%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4"/>
                <w:szCs w:val="14"/>
                <w:color w:val="auto"/>
              </w:rPr>
              <w:t>1.6%</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assets</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593,853</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840,950</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902,204</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7.3%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51.9%</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tcPr>
          <w:p>
            <w:pPr>
              <w:ind w:left="680"/>
              <w:spacing w:after="0"/>
              <w:rPr>
                <w:sz w:val="20"/>
                <w:szCs w:val="20"/>
                <w:color w:val="auto"/>
              </w:rPr>
            </w:pPr>
            <w:r>
              <w:rPr>
                <w:rFonts w:ascii="Arial" w:cs="Arial" w:eastAsia="Arial" w:hAnsi="Arial"/>
                <w:sz w:val="14"/>
                <w:szCs w:val="14"/>
                <w:b w:val="1"/>
                <w:bCs w:val="1"/>
                <w:color w:val="auto"/>
              </w:rPr>
              <w:t>Total assets</w:t>
            </w:r>
          </w:p>
        </w:tc>
        <w:tc>
          <w:tcPr>
            <w:tcW w:w="10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12,571,725</w:t>
            </w:r>
          </w:p>
        </w:tc>
        <w:tc>
          <w:tcPr>
            <w:tcW w:w="10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13,206,324</w:t>
            </w: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13,250,021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0.3%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5.4%</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18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rPr>
              <w:t>LIABILITIES AND NET</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8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SHAREHOLDERS’ EQUITY</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Deposits and obligations</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8,135,187</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8,216,878</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8,279,992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1.8%</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3"/>
          </w:tcPr>
          <w:p>
            <w:pPr>
              <w:spacing w:after="0"/>
              <w:rPr>
                <w:sz w:val="20"/>
                <w:szCs w:val="20"/>
                <w:color w:val="auto"/>
              </w:rPr>
            </w:pPr>
            <w:r>
              <w:rPr>
                <w:rFonts w:ascii="Arial" w:cs="Arial" w:eastAsia="Arial" w:hAnsi="Arial"/>
                <w:sz w:val="14"/>
                <w:szCs w:val="14"/>
                <w:color w:val="auto"/>
              </w:rPr>
              <w:t>Due to banks and correspondents</w:t>
            </w:r>
          </w:p>
        </w:tc>
        <w:tc>
          <w:tcPr>
            <w:tcW w:w="1080" w:type="dxa"/>
            <w:vAlign w:val="bottom"/>
            <w:gridSpan w:val="3"/>
          </w:tcPr>
          <w:p>
            <w:pPr>
              <w:jc w:val="right"/>
              <w:ind w:right="160"/>
              <w:spacing w:after="0"/>
              <w:rPr>
                <w:sz w:val="20"/>
                <w:szCs w:val="20"/>
                <w:color w:val="auto"/>
              </w:rPr>
            </w:pPr>
            <w:r>
              <w:rPr>
                <w:rFonts w:ascii="Arial" w:cs="Arial" w:eastAsia="Arial" w:hAnsi="Arial"/>
                <w:sz w:val="14"/>
                <w:szCs w:val="14"/>
                <w:color w:val="auto"/>
              </w:rPr>
              <w:t>1,592,198</w:t>
            </w:r>
          </w:p>
        </w:tc>
        <w:tc>
          <w:tcPr>
            <w:tcW w:w="10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4"/>
                <w:szCs w:val="14"/>
                <w:color w:val="auto"/>
              </w:rPr>
              <w:t>1,823,461</w:t>
            </w: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1,920,244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4"/>
                <w:szCs w:val="14"/>
                <w:color w:val="auto"/>
              </w:rPr>
              <w:t>5.3%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4"/>
                <w:szCs w:val="14"/>
                <w:color w:val="auto"/>
              </w:rPr>
              <w:t>20.6%</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Bonds and subordinated debt</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367,867</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263,613</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175,534</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-33.4%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-52.3%</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3"/>
          </w:tcPr>
          <w:p>
            <w:pPr>
              <w:spacing w:after="0"/>
              <w:rPr>
                <w:sz w:val="20"/>
                <w:szCs w:val="20"/>
                <w:color w:val="auto"/>
              </w:rPr>
            </w:pPr>
            <w:r>
              <w:rPr>
                <w:rFonts w:ascii="Arial" w:cs="Arial" w:eastAsia="Arial" w:hAnsi="Arial"/>
                <w:sz w:val="14"/>
                <w:szCs w:val="14"/>
                <w:color w:val="auto"/>
              </w:rPr>
              <w:t>Other liabilities</w:t>
            </w:r>
          </w:p>
        </w:tc>
        <w:tc>
          <w:tcPr>
            <w:tcW w:w="1080" w:type="dxa"/>
            <w:vAlign w:val="bottom"/>
            <w:gridSpan w:val="3"/>
          </w:tcPr>
          <w:p>
            <w:pPr>
              <w:jc w:val="right"/>
              <w:ind w:right="160"/>
              <w:spacing w:after="0"/>
              <w:rPr>
                <w:sz w:val="20"/>
                <w:szCs w:val="20"/>
                <w:color w:val="auto"/>
              </w:rPr>
            </w:pPr>
            <w:r>
              <w:rPr>
                <w:rFonts w:ascii="Arial" w:cs="Arial" w:eastAsia="Arial" w:hAnsi="Arial"/>
                <w:sz w:val="14"/>
                <w:szCs w:val="14"/>
                <w:color w:val="auto"/>
              </w:rPr>
              <w:t>552,644</w:t>
            </w:r>
          </w:p>
        </w:tc>
        <w:tc>
          <w:tcPr>
            <w:tcW w:w="10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4"/>
                <w:szCs w:val="14"/>
                <w:color w:val="auto"/>
              </w:rPr>
              <w:t>867,815</w:t>
            </w:r>
          </w:p>
        </w:tc>
        <w:tc>
          <w:tcPr>
            <w:tcW w:w="8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4"/>
                <w:szCs w:val="14"/>
                <w:color w:val="auto"/>
              </w:rPr>
              <w:t>740,737</w:t>
            </w:r>
          </w:p>
        </w:tc>
        <w:tc>
          <w:tcPr>
            <w:tcW w:w="8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4"/>
                <w:szCs w:val="14"/>
                <w:color w:val="auto"/>
              </w:rPr>
              <w:t>-14.6%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4"/>
                <w:szCs w:val="14"/>
                <w:color w:val="auto"/>
              </w:rPr>
              <w:t>34.0%</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shd w:val="clear" w:color="auto" w:fill="CCEEFF"/>
          </w:tcPr>
          <w:p>
            <w:pPr>
              <w:ind w:left="560"/>
              <w:spacing w:after="0"/>
              <w:rPr>
                <w:sz w:val="20"/>
                <w:szCs w:val="20"/>
                <w:color w:val="auto"/>
              </w:rPr>
            </w:pPr>
            <w:r>
              <w:rPr>
                <w:rFonts w:ascii="Arial" w:cs="Arial" w:eastAsia="Arial" w:hAnsi="Arial"/>
                <w:sz w:val="14"/>
                <w:szCs w:val="14"/>
                <w:b w:val="1"/>
                <w:bCs w:val="1"/>
                <w:color w:val="auto"/>
              </w:rPr>
              <w:t>Total liabilities</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10,647,896</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11,171,768</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11,116,507</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-0.5%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4.4%</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equity</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1,923,829</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2,034,557</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2,133,514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4.9%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10.9%</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18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TOTAL LIABILITIES AND</w:t>
            </w: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b w:val="1"/>
                <w:bCs w:val="1"/>
                <w:color w:val="auto"/>
              </w:rPr>
              <w:t>NET SHAREHOLDERS’</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18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EQUITY</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12,571,725</w:t>
            </w: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13,206,324</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13,250,021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0.3%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5.4%</w:t>
            </w: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4"/>
          </w:tcPr>
          <w:p>
            <w:pPr>
              <w:ind w:left="100"/>
              <w:spacing w:after="0"/>
              <w:rPr>
                <w:sz w:val="20"/>
                <w:szCs w:val="20"/>
                <w:color w:val="auto"/>
              </w:rPr>
            </w:pPr>
            <w:r>
              <w:rPr>
                <w:rFonts w:ascii="Arial" w:cs="Arial" w:eastAsia="Arial" w:hAnsi="Arial"/>
                <w:sz w:val="14"/>
                <w:szCs w:val="14"/>
                <w:b w:val="1"/>
                <w:bCs w:val="1"/>
                <w:color w:val="auto"/>
              </w:rPr>
              <w:t>Quarter</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5"/>
          </w:tcPr>
          <w:p>
            <w:pPr>
              <w:ind w:left="660"/>
              <w:spacing w:after="0"/>
              <w:rPr>
                <w:sz w:val="20"/>
                <w:szCs w:val="20"/>
                <w:color w:val="auto"/>
              </w:rPr>
            </w:pPr>
            <w:r>
              <w:rPr>
                <w:rFonts w:ascii="Arial" w:cs="Arial" w:eastAsia="Arial" w:hAnsi="Arial"/>
                <w:sz w:val="14"/>
                <w:szCs w:val="14"/>
                <w:b w:val="1"/>
                <w:bCs w:val="1"/>
                <w:color w:val="auto"/>
              </w:rPr>
              <w:t>% change</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3"/>
          </w:tcPr>
          <w:p>
            <w:pPr>
              <w:ind w:left="880"/>
              <w:spacing w:after="0"/>
              <w:rPr>
                <w:sz w:val="20"/>
                <w:szCs w:val="20"/>
                <w:color w:val="auto"/>
              </w:rPr>
            </w:pPr>
            <w:r>
              <w:rPr>
                <w:rFonts w:ascii="Arial" w:cs="Arial" w:eastAsia="Arial" w:hAnsi="Arial"/>
                <w:sz w:val="14"/>
                <w:szCs w:val="14"/>
                <w:b w:val="1"/>
                <w:bCs w:val="1"/>
                <w:color w:val="auto"/>
              </w:rPr>
              <w:t>YTD</w:t>
            </w: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3Q18</w:t>
            </w:r>
          </w:p>
        </w:tc>
        <w:tc>
          <w:tcPr>
            <w:tcW w:w="240" w:type="dxa"/>
            <w:vAlign w:val="bottom"/>
            <w:tcBorders>
              <w:bottom w:val="single" w:sz="8" w:color="CCEEFF"/>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2Q19</w:t>
            </w:r>
          </w:p>
        </w:tc>
        <w:tc>
          <w:tcPr>
            <w:tcW w:w="240" w:type="dxa"/>
            <w:vAlign w:val="bottom"/>
            <w:tcBorders>
              <w:bottom w:val="single" w:sz="8" w:color="CCEEFF"/>
            </w:tcBorders>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3Q19</w:t>
            </w:r>
          </w:p>
        </w:tc>
        <w:tc>
          <w:tcPr>
            <w:tcW w:w="220" w:type="dxa"/>
            <w:vAlign w:val="bottom"/>
            <w:tcBorders>
              <w:bottom w:val="single" w:sz="8" w:color="CCEEFF"/>
            </w:tcBorders>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EEFF"/>
            </w:tcBorders>
            <w:gridSpan w:val="2"/>
          </w:tcPr>
          <w:p>
            <w:pPr>
              <w:spacing w:after="0"/>
              <w:rPr>
                <w:sz w:val="14"/>
                <w:szCs w:val="14"/>
                <w:color w:val="auto"/>
              </w:rPr>
            </w:pPr>
          </w:p>
        </w:tc>
        <w:tc>
          <w:tcPr>
            <w:tcW w:w="280" w:type="dxa"/>
            <w:vAlign w:val="bottom"/>
            <w:tcBorders>
              <w:bottom w:val="single" w:sz="8" w:color="auto"/>
            </w:tcBorders>
            <w:gridSpan w:val="2"/>
          </w:tcPr>
          <w:p>
            <w:pPr>
              <w:spacing w:after="0"/>
              <w:rPr>
                <w:sz w:val="14"/>
                <w:szCs w:val="14"/>
                <w:color w:val="auto"/>
              </w:rPr>
            </w:pPr>
          </w:p>
        </w:tc>
        <w:tc>
          <w:tcPr>
            <w:tcW w:w="6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YoY</w:t>
            </w:r>
          </w:p>
        </w:tc>
        <w:tc>
          <w:tcPr>
            <w:tcW w:w="240" w:type="dxa"/>
            <w:vAlign w:val="bottom"/>
            <w:tcBorders>
              <w:bottom w:val="single" w:sz="8" w:color="CCEEFF"/>
            </w:tcBorders>
            <w:gridSpan w:val="2"/>
          </w:tcPr>
          <w:p>
            <w:pPr>
              <w:spacing w:after="0"/>
              <w:rPr>
                <w:sz w:val="14"/>
                <w:szCs w:val="14"/>
                <w:color w:val="auto"/>
              </w:rPr>
            </w:pPr>
          </w:p>
        </w:tc>
        <w:tc>
          <w:tcPr>
            <w:tcW w:w="9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Sep 18</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Sep 19</w:t>
            </w:r>
          </w:p>
        </w:tc>
        <w:tc>
          <w:tcPr>
            <w:tcW w:w="24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8"/>
              </w:rPr>
              <w:t>Sep 19 / Sep 18</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interest income</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495,385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473,889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478,189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0.9%</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-3.5%</w:t>
            </w: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1,471,557</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1,420,019</w:t>
            </w:r>
          </w:p>
        </w:tc>
        <w:tc>
          <w:tcPr>
            <w:tcW w:w="2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80" w:type="dxa"/>
            <w:vAlign w:val="bottom"/>
            <w:gridSpan w:val="2"/>
          </w:tcPr>
          <w:p>
            <w:pPr>
              <w:spacing w:after="0" w:line="130" w:lineRule="exact"/>
              <w:rPr>
                <w:sz w:val="20"/>
                <w:szCs w:val="20"/>
                <w:color w:val="auto"/>
              </w:rPr>
            </w:pPr>
            <w:r>
              <w:rPr>
                <w:rFonts w:ascii="Arial" w:cs="Arial" w:eastAsia="Arial" w:hAnsi="Arial"/>
                <w:sz w:val="14"/>
                <w:szCs w:val="14"/>
                <w:color w:val="auto"/>
              </w:rPr>
              <w:t>Provision for loan losses, net of</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gridSpan w:val="2"/>
          </w:tcPr>
          <w:p>
            <w:pPr>
              <w:ind w:left="160"/>
              <w:spacing w:after="0"/>
              <w:rPr>
                <w:sz w:val="20"/>
                <w:szCs w:val="20"/>
                <w:color w:val="auto"/>
              </w:rPr>
            </w:pPr>
            <w:r>
              <w:rPr>
                <w:rFonts w:ascii="Arial" w:cs="Arial" w:eastAsia="Arial" w:hAnsi="Arial"/>
                <w:sz w:val="14"/>
                <w:szCs w:val="14"/>
                <w:color w:val="auto"/>
              </w:rPr>
              <w:t>recoveries</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-138,001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-105,550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-115,458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4"/>
                <w:szCs w:val="14"/>
                <w:color w:val="auto"/>
              </w:rPr>
              <w:t>9.4%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4"/>
                <w:szCs w:val="14"/>
                <w:color w:val="auto"/>
              </w:rPr>
              <w:t>-16.3%</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-319,814</w:t>
            </w:r>
          </w:p>
        </w:tc>
        <w:tc>
          <w:tcPr>
            <w:tcW w:w="14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-311,500</w:t>
            </w: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18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Net interest income after</w:t>
            </w:r>
          </w:p>
        </w:tc>
        <w:tc>
          <w:tcPr>
            <w:tcW w:w="9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357,384</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368,339</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362,731</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-1.5%</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1.5%</w:t>
            </w: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1,151,742</w:t>
            </w:r>
          </w:p>
        </w:tc>
        <w:tc>
          <w:tcPr>
            <w:tcW w:w="14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1,108,519</w:t>
            </w:r>
          </w:p>
        </w:tc>
        <w:tc>
          <w:tcPr>
            <w:tcW w:w="12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8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provisions</w:t>
            </w:r>
          </w:p>
        </w:tc>
        <w:tc>
          <w:tcPr>
            <w:tcW w:w="9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3"/>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2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Non-financial income</w:t>
            </w: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26,589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43,129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42,400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-1.7%</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59.5%</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115,801</w:t>
            </w:r>
          </w:p>
        </w:tc>
        <w:tc>
          <w:tcPr>
            <w:tcW w:w="14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130,540</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expenses</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-240,347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-273,032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-267,903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11.5%</w:t>
            </w: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-768,770</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-821,331</w:t>
            </w:r>
          </w:p>
        </w:tc>
        <w:tc>
          <w:tcPr>
            <w:tcW w:w="1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Translation result</w:t>
            </w: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0.0%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0.0%</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Income taxes</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-38,868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-39,294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-39,895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w:t>
            </w: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-138,725</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-119,344</w:t>
            </w:r>
          </w:p>
        </w:tc>
        <w:tc>
          <w:tcPr>
            <w:tcW w:w="1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104,758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99,142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97,332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-1.8%</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-7.1%</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360,049</w:t>
            </w:r>
          </w:p>
        </w:tc>
        <w:tc>
          <w:tcPr>
            <w:tcW w:w="14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298,384</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-17.1%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spacing w:after="0"/>
              <w:rPr>
                <w:sz w:val="12"/>
                <w:szCs w:val="12"/>
                <w:color w:val="auto"/>
              </w:rPr>
            </w:pPr>
          </w:p>
        </w:tc>
        <w:tc>
          <w:tcPr>
            <w:tcW w:w="280" w:type="dxa"/>
            <w:vAlign w:val="bottom"/>
            <w:gridSpan w:val="2"/>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Efficiency ratio</w:t>
            </w:r>
          </w:p>
        </w:tc>
        <w:tc>
          <w:tcPr>
            <w:tcW w:w="10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45.4%</w:t>
            </w:r>
          </w:p>
        </w:tc>
        <w:tc>
          <w:tcPr>
            <w:tcW w:w="100" w:type="dxa"/>
            <w:vAlign w:val="bottom"/>
          </w:tcPr>
          <w:p>
            <w:pPr>
              <w:spacing w:after="0"/>
              <w:rPr>
                <w:sz w:val="12"/>
                <w:szCs w:val="12"/>
                <w:color w:val="auto"/>
              </w:rPr>
            </w:pP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52.3%</w:t>
            </w:r>
          </w:p>
        </w:tc>
        <w:tc>
          <w:tcPr>
            <w:tcW w:w="80" w:type="dxa"/>
            <w:vAlign w:val="bottom"/>
          </w:tcPr>
          <w:p>
            <w:pPr>
              <w:spacing w:after="0"/>
              <w:rPr>
                <w:sz w:val="12"/>
                <w:szCs w:val="12"/>
                <w:color w:val="auto"/>
              </w:rPr>
            </w:pPr>
          </w:p>
        </w:tc>
        <w:tc>
          <w:tcPr>
            <w:tcW w:w="10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50.7%</w:t>
            </w:r>
          </w:p>
        </w:tc>
        <w:tc>
          <w:tcPr>
            <w:tcW w:w="80" w:type="dxa"/>
            <w:vAlign w:val="bottom"/>
          </w:tcPr>
          <w:p>
            <w:pPr>
              <w:spacing w:after="0"/>
              <w:rPr>
                <w:sz w:val="12"/>
                <w:szCs w:val="12"/>
                <w:color w:val="auto"/>
              </w:rPr>
            </w:pPr>
          </w:p>
        </w:tc>
        <w:tc>
          <w:tcPr>
            <w:tcW w:w="1360" w:type="dxa"/>
            <w:vAlign w:val="bottom"/>
            <w:gridSpan w:val="5"/>
          </w:tcPr>
          <w:p>
            <w:pPr>
              <w:jc w:val="right"/>
              <w:ind w:right="520"/>
              <w:spacing w:after="0" w:line="149" w:lineRule="exact"/>
              <w:rPr>
                <w:sz w:val="20"/>
                <w:szCs w:val="20"/>
                <w:color w:val="auto"/>
              </w:rPr>
            </w:pPr>
            <w:r>
              <w:rPr>
                <w:rFonts w:ascii="Arial" w:cs="Arial" w:eastAsia="Arial" w:hAnsi="Arial"/>
                <w:sz w:val="14"/>
                <w:szCs w:val="14"/>
                <w:color w:val="auto"/>
              </w:rPr>
              <w:t>-160 bps</w:t>
            </w:r>
          </w:p>
        </w:tc>
        <w:tc>
          <w:tcPr>
            <w:tcW w:w="88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530 bps</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47.5%</w:t>
            </w:r>
          </w:p>
        </w:tc>
        <w:tc>
          <w:tcPr>
            <w:tcW w:w="14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52.5%</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500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ROAE</w:t>
            </w:r>
          </w:p>
        </w:tc>
        <w:tc>
          <w:tcPr>
            <w:tcW w:w="10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22.4%</w:t>
            </w:r>
          </w:p>
        </w:tc>
        <w:tc>
          <w:tcPr>
            <w:tcW w:w="1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20.0%</w:t>
            </w:r>
          </w:p>
        </w:tc>
        <w:tc>
          <w:tcPr>
            <w:tcW w:w="8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18.7%</w:t>
            </w:r>
          </w:p>
        </w:tc>
        <w:tc>
          <w:tcPr>
            <w:tcW w:w="80" w:type="dxa"/>
            <w:vAlign w:val="bottom"/>
            <w:shd w:val="clear" w:color="auto" w:fill="CCEEFF"/>
          </w:tcPr>
          <w:p>
            <w:pPr>
              <w:spacing w:after="0"/>
              <w:rPr>
                <w:sz w:val="12"/>
                <w:szCs w:val="12"/>
                <w:color w:val="auto"/>
              </w:rPr>
            </w:pPr>
          </w:p>
        </w:tc>
        <w:tc>
          <w:tcPr>
            <w:tcW w:w="1360" w:type="dxa"/>
            <w:vAlign w:val="bottom"/>
            <w:gridSpan w:val="5"/>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-130 bps</w:t>
            </w:r>
          </w:p>
        </w:tc>
        <w:tc>
          <w:tcPr>
            <w:tcW w:w="88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-370 bps</w:t>
            </w: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26.5%</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19.7%</w:t>
            </w:r>
          </w:p>
        </w:tc>
        <w:tc>
          <w:tcPr>
            <w:tcW w:w="12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-680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ROAE incl. goow dill</w:t>
            </w:r>
          </w:p>
        </w:tc>
        <w:tc>
          <w:tcPr>
            <w:tcW w:w="10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20.8%</w:t>
            </w:r>
          </w:p>
        </w:tc>
        <w:tc>
          <w:tcPr>
            <w:tcW w:w="100" w:type="dxa"/>
            <w:vAlign w:val="bottom"/>
          </w:tcPr>
          <w:p>
            <w:pPr>
              <w:spacing w:after="0"/>
              <w:rPr>
                <w:sz w:val="12"/>
                <w:szCs w:val="12"/>
                <w:color w:val="auto"/>
              </w:rPr>
            </w:pP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18.6%</w:t>
            </w:r>
          </w:p>
        </w:tc>
        <w:tc>
          <w:tcPr>
            <w:tcW w:w="80" w:type="dxa"/>
            <w:vAlign w:val="bottom"/>
          </w:tcPr>
          <w:p>
            <w:pPr>
              <w:spacing w:after="0"/>
              <w:rPr>
                <w:sz w:val="12"/>
                <w:szCs w:val="12"/>
                <w:color w:val="auto"/>
              </w:rPr>
            </w:pPr>
          </w:p>
        </w:tc>
        <w:tc>
          <w:tcPr>
            <w:tcW w:w="10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17.5%</w:t>
            </w:r>
          </w:p>
        </w:tc>
        <w:tc>
          <w:tcPr>
            <w:tcW w:w="80" w:type="dxa"/>
            <w:vAlign w:val="bottom"/>
          </w:tcPr>
          <w:p>
            <w:pPr>
              <w:spacing w:after="0"/>
              <w:rPr>
                <w:sz w:val="12"/>
                <w:szCs w:val="12"/>
                <w:color w:val="auto"/>
              </w:rPr>
            </w:pPr>
          </w:p>
        </w:tc>
        <w:tc>
          <w:tcPr>
            <w:tcW w:w="1360" w:type="dxa"/>
            <w:vAlign w:val="bottom"/>
            <w:gridSpan w:val="5"/>
          </w:tcPr>
          <w:p>
            <w:pPr>
              <w:jc w:val="right"/>
              <w:ind w:right="520"/>
              <w:spacing w:after="0" w:line="149" w:lineRule="exact"/>
              <w:rPr>
                <w:sz w:val="20"/>
                <w:szCs w:val="20"/>
                <w:color w:val="auto"/>
              </w:rPr>
            </w:pPr>
            <w:r>
              <w:rPr>
                <w:rFonts w:ascii="Arial" w:cs="Arial" w:eastAsia="Arial" w:hAnsi="Arial"/>
                <w:sz w:val="14"/>
                <w:szCs w:val="14"/>
                <w:color w:val="auto"/>
              </w:rPr>
              <w:t>-110 bps</w:t>
            </w:r>
          </w:p>
        </w:tc>
        <w:tc>
          <w:tcPr>
            <w:tcW w:w="88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-330 bps</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24.8%</w:t>
            </w:r>
          </w:p>
        </w:tc>
        <w:tc>
          <w:tcPr>
            <w:tcW w:w="14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18.4%</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-640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L/D ratio</w:t>
            </w:r>
          </w:p>
        </w:tc>
        <w:tc>
          <w:tcPr>
            <w:tcW w:w="10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120.3%</w:t>
            </w:r>
          </w:p>
        </w:tc>
        <w:tc>
          <w:tcPr>
            <w:tcW w:w="1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124.8%</w:t>
            </w:r>
          </w:p>
        </w:tc>
        <w:tc>
          <w:tcPr>
            <w:tcW w:w="8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125.0%</w:t>
            </w:r>
          </w:p>
        </w:tc>
        <w:tc>
          <w:tcPr>
            <w:tcW w:w="80" w:type="dxa"/>
            <w:vAlign w:val="bottom"/>
            <w:shd w:val="clear" w:color="auto" w:fill="CCEEFF"/>
          </w:tcPr>
          <w:p>
            <w:pPr>
              <w:spacing w:after="0"/>
              <w:rPr>
                <w:sz w:val="12"/>
                <w:szCs w:val="12"/>
                <w:color w:val="auto"/>
              </w:rPr>
            </w:pPr>
          </w:p>
        </w:tc>
        <w:tc>
          <w:tcPr>
            <w:tcW w:w="1360" w:type="dxa"/>
            <w:vAlign w:val="bottom"/>
            <w:gridSpan w:val="5"/>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20 bps</w:t>
            </w:r>
          </w:p>
        </w:tc>
        <w:tc>
          <w:tcPr>
            <w:tcW w:w="88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470 bps</w:t>
            </w: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IOL ratio</w:t>
            </w:r>
          </w:p>
        </w:tc>
        <w:tc>
          <w:tcPr>
            <w:tcW w:w="10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5.4%</w:t>
            </w:r>
          </w:p>
        </w:tc>
        <w:tc>
          <w:tcPr>
            <w:tcW w:w="100" w:type="dxa"/>
            <w:vAlign w:val="bottom"/>
          </w:tcPr>
          <w:p>
            <w:pPr>
              <w:spacing w:after="0"/>
              <w:rPr>
                <w:sz w:val="12"/>
                <w:szCs w:val="12"/>
                <w:color w:val="auto"/>
              </w:rPr>
            </w:pP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5.3%</w:t>
            </w:r>
          </w:p>
        </w:tc>
        <w:tc>
          <w:tcPr>
            <w:tcW w:w="80" w:type="dxa"/>
            <w:vAlign w:val="bottom"/>
          </w:tcPr>
          <w:p>
            <w:pPr>
              <w:spacing w:after="0"/>
              <w:rPr>
                <w:sz w:val="12"/>
                <w:szCs w:val="12"/>
                <w:color w:val="auto"/>
              </w:rPr>
            </w:pPr>
          </w:p>
        </w:tc>
        <w:tc>
          <w:tcPr>
            <w:tcW w:w="10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5.4%</w:t>
            </w:r>
          </w:p>
        </w:tc>
        <w:tc>
          <w:tcPr>
            <w:tcW w:w="80" w:type="dxa"/>
            <w:vAlign w:val="bottom"/>
          </w:tcPr>
          <w:p>
            <w:pPr>
              <w:spacing w:after="0"/>
              <w:rPr>
                <w:sz w:val="12"/>
                <w:szCs w:val="12"/>
                <w:color w:val="auto"/>
              </w:rPr>
            </w:pPr>
          </w:p>
        </w:tc>
        <w:tc>
          <w:tcPr>
            <w:tcW w:w="1360" w:type="dxa"/>
            <w:vAlign w:val="bottom"/>
            <w:gridSpan w:val="5"/>
          </w:tcPr>
          <w:p>
            <w:pPr>
              <w:jc w:val="right"/>
              <w:ind w:right="520"/>
              <w:spacing w:after="0" w:line="149" w:lineRule="exact"/>
              <w:rPr>
                <w:sz w:val="20"/>
                <w:szCs w:val="20"/>
                <w:color w:val="auto"/>
              </w:rPr>
            </w:pPr>
            <w:r>
              <w:rPr>
                <w:rFonts w:ascii="Arial" w:cs="Arial" w:eastAsia="Arial" w:hAnsi="Arial"/>
                <w:sz w:val="14"/>
                <w:szCs w:val="14"/>
                <w:color w:val="auto"/>
              </w:rPr>
              <w:t>10 bps</w:t>
            </w:r>
          </w:p>
        </w:tc>
        <w:tc>
          <w:tcPr>
            <w:tcW w:w="88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 bps</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NPL ratio</w:t>
            </w:r>
          </w:p>
        </w:tc>
        <w:tc>
          <w:tcPr>
            <w:tcW w:w="10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6.5%</w:t>
            </w:r>
          </w:p>
        </w:tc>
        <w:tc>
          <w:tcPr>
            <w:tcW w:w="8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6.5%</w:t>
            </w:r>
          </w:p>
        </w:tc>
        <w:tc>
          <w:tcPr>
            <w:tcW w:w="80" w:type="dxa"/>
            <w:vAlign w:val="bottom"/>
            <w:shd w:val="clear" w:color="auto" w:fill="CCEEFF"/>
          </w:tcPr>
          <w:p>
            <w:pPr>
              <w:spacing w:after="0"/>
              <w:rPr>
                <w:sz w:val="12"/>
                <w:szCs w:val="12"/>
                <w:color w:val="auto"/>
              </w:rPr>
            </w:pPr>
          </w:p>
        </w:tc>
        <w:tc>
          <w:tcPr>
            <w:tcW w:w="1360" w:type="dxa"/>
            <w:vAlign w:val="bottom"/>
            <w:gridSpan w:val="5"/>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 bps</w:t>
            </w:r>
          </w:p>
        </w:tc>
        <w:tc>
          <w:tcPr>
            <w:tcW w:w="88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 bps</w:t>
            </w: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Coverage of IOLs</w:t>
            </w:r>
          </w:p>
        </w:tc>
        <w:tc>
          <w:tcPr>
            <w:tcW w:w="10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171.8%</w:t>
            </w:r>
          </w:p>
        </w:tc>
        <w:tc>
          <w:tcPr>
            <w:tcW w:w="100" w:type="dxa"/>
            <w:vAlign w:val="bottom"/>
          </w:tcPr>
          <w:p>
            <w:pPr>
              <w:spacing w:after="0"/>
              <w:rPr>
                <w:sz w:val="12"/>
                <w:szCs w:val="12"/>
                <w:color w:val="auto"/>
              </w:rPr>
            </w:pP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165.8%</w:t>
            </w:r>
          </w:p>
        </w:tc>
        <w:tc>
          <w:tcPr>
            <w:tcW w:w="80" w:type="dxa"/>
            <w:vAlign w:val="bottom"/>
          </w:tcPr>
          <w:p>
            <w:pPr>
              <w:spacing w:after="0"/>
              <w:rPr>
                <w:sz w:val="12"/>
                <w:szCs w:val="12"/>
                <w:color w:val="auto"/>
              </w:rPr>
            </w:pPr>
          </w:p>
        </w:tc>
        <w:tc>
          <w:tcPr>
            <w:tcW w:w="10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165.1%</w:t>
            </w:r>
          </w:p>
        </w:tc>
        <w:tc>
          <w:tcPr>
            <w:tcW w:w="80" w:type="dxa"/>
            <w:vAlign w:val="bottom"/>
          </w:tcPr>
          <w:p>
            <w:pPr>
              <w:spacing w:after="0"/>
              <w:rPr>
                <w:sz w:val="12"/>
                <w:szCs w:val="12"/>
                <w:color w:val="auto"/>
              </w:rPr>
            </w:pPr>
          </w:p>
        </w:tc>
        <w:tc>
          <w:tcPr>
            <w:tcW w:w="1360" w:type="dxa"/>
            <w:vAlign w:val="bottom"/>
            <w:gridSpan w:val="5"/>
          </w:tcPr>
          <w:p>
            <w:pPr>
              <w:jc w:val="right"/>
              <w:ind w:right="520"/>
              <w:spacing w:after="0" w:line="149" w:lineRule="exact"/>
              <w:rPr>
                <w:sz w:val="20"/>
                <w:szCs w:val="20"/>
                <w:color w:val="auto"/>
              </w:rPr>
            </w:pPr>
            <w:r>
              <w:rPr>
                <w:rFonts w:ascii="Arial" w:cs="Arial" w:eastAsia="Arial" w:hAnsi="Arial"/>
                <w:sz w:val="14"/>
                <w:szCs w:val="14"/>
                <w:color w:val="auto"/>
              </w:rPr>
              <w:t>-70 bps</w:t>
            </w:r>
          </w:p>
        </w:tc>
        <w:tc>
          <w:tcPr>
            <w:tcW w:w="88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670 bps</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Coverage of NPLs</w:t>
            </w:r>
          </w:p>
        </w:tc>
        <w:tc>
          <w:tcPr>
            <w:tcW w:w="10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140.2%</w:t>
            </w:r>
          </w:p>
        </w:tc>
        <w:tc>
          <w:tcPr>
            <w:tcW w:w="1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136.7%</w:t>
            </w:r>
          </w:p>
        </w:tc>
        <w:tc>
          <w:tcPr>
            <w:tcW w:w="8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138.7%</w:t>
            </w:r>
          </w:p>
        </w:tc>
        <w:tc>
          <w:tcPr>
            <w:tcW w:w="80" w:type="dxa"/>
            <w:vAlign w:val="bottom"/>
            <w:shd w:val="clear" w:color="auto" w:fill="CCEEFF"/>
          </w:tcPr>
          <w:p>
            <w:pPr>
              <w:spacing w:after="0"/>
              <w:rPr>
                <w:sz w:val="12"/>
                <w:szCs w:val="12"/>
                <w:color w:val="auto"/>
              </w:rPr>
            </w:pPr>
          </w:p>
        </w:tc>
        <w:tc>
          <w:tcPr>
            <w:tcW w:w="1360" w:type="dxa"/>
            <w:vAlign w:val="bottom"/>
            <w:gridSpan w:val="5"/>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200 bps</w:t>
            </w:r>
          </w:p>
        </w:tc>
        <w:tc>
          <w:tcPr>
            <w:tcW w:w="88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-150 bps</w:t>
            </w: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180" w:type="dxa"/>
            <w:vAlign w:val="bottom"/>
            <w:gridSpan w:val="2"/>
          </w:tcPr>
          <w:p>
            <w:pPr>
              <w:spacing w:after="0" w:line="189" w:lineRule="exact"/>
              <w:rPr>
                <w:sz w:val="20"/>
                <w:szCs w:val="20"/>
                <w:color w:val="auto"/>
              </w:rPr>
            </w:pPr>
            <w:r>
              <w:rPr>
                <w:rFonts w:ascii="Arial" w:cs="Arial" w:eastAsia="Arial" w:hAnsi="Arial"/>
                <w:sz w:val="13"/>
                <w:szCs w:val="13"/>
                <w:color w:val="auto"/>
              </w:rPr>
              <w:t xml:space="preserve">Branches </w:t>
            </w:r>
            <w:r>
              <w:rPr>
                <w:rFonts w:ascii="Arial" w:cs="Arial" w:eastAsia="Arial" w:hAnsi="Arial"/>
                <w:sz w:val="21"/>
                <w:szCs w:val="21"/>
                <w:color w:val="auto"/>
                <w:vertAlign w:val="superscript"/>
              </w:rPr>
              <w:t>(2)</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326</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324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324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Employees</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10,087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11,545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11,355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1,268</w:t>
            </w: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4970780</wp:posOffset>
            </wp:positionH>
            <wp:positionV relativeFrom="paragraph">
              <wp:posOffset>-5908040</wp:posOffset>
            </wp:positionV>
            <wp:extent cx="2280920" cy="3346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280920" cy="334645"/>
                    </a:xfrm>
                    <a:prstGeom prst="rect">
                      <a:avLst/>
                    </a:prstGeom>
                    <a:noFill/>
                  </pic:spPr>
                </pic:pic>
              </a:graphicData>
            </a:graphic>
          </wp:anchor>
        </w:drawing>
        <w:drawing>
          <wp:anchor simplePos="0" relativeHeight="251657728" behindDoc="1" locked="0" layoutInCell="0" allowOverlap="1">
            <wp:simplePos x="0" y="0"/>
            <wp:positionH relativeFrom="column">
              <wp:posOffset>4970780</wp:posOffset>
            </wp:positionH>
            <wp:positionV relativeFrom="paragraph">
              <wp:posOffset>-5436235</wp:posOffset>
            </wp:positionV>
            <wp:extent cx="228092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280920" cy="137160"/>
                    </a:xfrm>
                    <a:prstGeom prst="rect">
                      <a:avLst/>
                    </a:prstGeom>
                    <a:noFill/>
                  </pic:spPr>
                </pic:pic>
              </a:graphicData>
            </a:graphic>
          </wp:anchor>
        </w:drawing>
        <w:drawing>
          <wp:anchor simplePos="0" relativeHeight="251657728" behindDoc="1" locked="0" layoutInCell="0" allowOverlap="1">
            <wp:simplePos x="0" y="0"/>
            <wp:positionH relativeFrom="column">
              <wp:posOffset>4970780</wp:posOffset>
            </wp:positionH>
            <wp:positionV relativeFrom="paragraph">
              <wp:posOffset>-5161915</wp:posOffset>
            </wp:positionV>
            <wp:extent cx="228092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280920" cy="137160"/>
                    </a:xfrm>
                    <a:prstGeom prst="rect">
                      <a:avLst/>
                    </a:prstGeom>
                    <a:noFill/>
                  </pic:spPr>
                </pic:pic>
              </a:graphicData>
            </a:graphic>
          </wp:anchor>
        </w:drawing>
        <w:drawing>
          <wp:anchor simplePos="0" relativeHeight="251657728" behindDoc="1" locked="0" layoutInCell="0" allowOverlap="1">
            <wp:simplePos x="0" y="0"/>
            <wp:positionH relativeFrom="column">
              <wp:posOffset>4970780</wp:posOffset>
            </wp:positionH>
            <wp:positionV relativeFrom="paragraph">
              <wp:posOffset>-4887595</wp:posOffset>
            </wp:positionV>
            <wp:extent cx="228092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280920" cy="137160"/>
                    </a:xfrm>
                    <a:prstGeom prst="rect">
                      <a:avLst/>
                    </a:prstGeom>
                    <a:noFill/>
                  </pic:spPr>
                </pic:pic>
              </a:graphicData>
            </a:graphic>
          </wp:anchor>
        </w:drawing>
        <w:drawing>
          <wp:anchor simplePos="0" relativeHeight="251657728" behindDoc="1" locked="0" layoutInCell="0" allowOverlap="1">
            <wp:simplePos x="0" y="0"/>
            <wp:positionH relativeFrom="column">
              <wp:posOffset>4970780</wp:posOffset>
            </wp:positionH>
            <wp:positionV relativeFrom="paragraph">
              <wp:posOffset>-4613275</wp:posOffset>
            </wp:positionV>
            <wp:extent cx="228092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280920" cy="137160"/>
                    </a:xfrm>
                    <a:prstGeom prst="rect">
                      <a:avLst/>
                    </a:prstGeom>
                    <a:noFill/>
                  </pic:spPr>
                </pic:pic>
              </a:graphicData>
            </a:graphic>
          </wp:anchor>
        </w:drawing>
        <w:drawing>
          <wp:anchor simplePos="0" relativeHeight="251657728" behindDoc="1" locked="0" layoutInCell="0" allowOverlap="1">
            <wp:simplePos x="0" y="0"/>
            <wp:positionH relativeFrom="column">
              <wp:posOffset>4970780</wp:posOffset>
            </wp:positionH>
            <wp:positionV relativeFrom="paragraph">
              <wp:posOffset>-4338955</wp:posOffset>
            </wp:positionV>
            <wp:extent cx="228092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280920" cy="137160"/>
                    </a:xfrm>
                    <a:prstGeom prst="rect">
                      <a:avLst/>
                    </a:prstGeom>
                    <a:noFill/>
                  </pic:spPr>
                </pic:pic>
              </a:graphicData>
            </a:graphic>
          </wp:anchor>
        </w:drawing>
        <w:drawing>
          <wp:anchor simplePos="0" relativeHeight="251657728" behindDoc="1" locked="0" layoutInCell="0" allowOverlap="1">
            <wp:simplePos x="0" y="0"/>
            <wp:positionH relativeFrom="column">
              <wp:posOffset>4970780</wp:posOffset>
            </wp:positionH>
            <wp:positionV relativeFrom="paragraph">
              <wp:posOffset>-4064000</wp:posOffset>
            </wp:positionV>
            <wp:extent cx="228092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280920" cy="137160"/>
                    </a:xfrm>
                    <a:prstGeom prst="rect">
                      <a:avLst/>
                    </a:prstGeom>
                    <a:noFill/>
                  </pic:spPr>
                </pic:pic>
              </a:graphicData>
            </a:graphic>
          </wp:anchor>
        </w:drawing>
        <w:drawing>
          <wp:anchor simplePos="0" relativeHeight="251657728" behindDoc="1" locked="0" layoutInCell="0" allowOverlap="1">
            <wp:simplePos x="0" y="0"/>
            <wp:positionH relativeFrom="column">
              <wp:posOffset>4970780</wp:posOffset>
            </wp:positionH>
            <wp:positionV relativeFrom="paragraph">
              <wp:posOffset>-3738245</wp:posOffset>
            </wp:positionV>
            <wp:extent cx="228092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280920" cy="137160"/>
                    </a:xfrm>
                    <a:prstGeom prst="rect">
                      <a:avLst/>
                    </a:prstGeom>
                    <a:noFill/>
                  </pic:spPr>
                </pic:pic>
              </a:graphicData>
            </a:graphic>
          </wp:anchor>
        </w:drawing>
        <w:drawing>
          <wp:anchor simplePos="0" relativeHeight="251657728" behindDoc="1" locked="0" layoutInCell="0" allowOverlap="1">
            <wp:simplePos x="0" y="0"/>
            <wp:positionH relativeFrom="column">
              <wp:posOffset>4970780</wp:posOffset>
            </wp:positionH>
            <wp:positionV relativeFrom="paragraph">
              <wp:posOffset>-3463925</wp:posOffset>
            </wp:positionV>
            <wp:extent cx="228092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280920" cy="137160"/>
                    </a:xfrm>
                    <a:prstGeom prst="rect">
                      <a:avLst/>
                    </a:prstGeom>
                    <a:noFill/>
                  </pic:spPr>
                </pic:pic>
              </a:graphicData>
            </a:graphic>
          </wp:anchor>
        </w:drawing>
        <w:drawing>
          <wp:anchor simplePos="0" relativeHeight="251657728" behindDoc="1" locked="0" layoutInCell="0" allowOverlap="1">
            <wp:simplePos x="0" y="0"/>
            <wp:positionH relativeFrom="column">
              <wp:posOffset>4970780</wp:posOffset>
            </wp:positionH>
            <wp:positionV relativeFrom="paragraph">
              <wp:posOffset>-3189605</wp:posOffset>
            </wp:positionV>
            <wp:extent cx="228092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280920" cy="137160"/>
                    </a:xfrm>
                    <a:prstGeom prst="rect">
                      <a:avLst/>
                    </a:prstGeom>
                    <a:noFill/>
                  </pic:spPr>
                </pic:pic>
              </a:graphicData>
            </a:graphic>
          </wp:anchor>
        </w:drawing>
        <w:drawing>
          <wp:anchor simplePos="0" relativeHeight="251657728" behindDoc="1" locked="0" layoutInCell="0" allowOverlap="1">
            <wp:simplePos x="0" y="0"/>
            <wp:positionH relativeFrom="column">
              <wp:posOffset>4970780</wp:posOffset>
            </wp:positionH>
            <wp:positionV relativeFrom="paragraph">
              <wp:posOffset>-2915285</wp:posOffset>
            </wp:positionV>
            <wp:extent cx="228092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280920" cy="137160"/>
                    </a:xfrm>
                    <a:prstGeom prst="rect">
                      <a:avLst/>
                    </a:prstGeom>
                    <a:noFill/>
                  </pic:spPr>
                </pic:pic>
              </a:graphicData>
            </a:graphic>
          </wp:anchor>
        </w:drawing>
        <w:drawing>
          <wp:anchor simplePos="0" relativeHeight="251657728" behindDoc="1" locked="0" layoutInCell="0" allowOverlap="1">
            <wp:simplePos x="0" y="0"/>
            <wp:positionH relativeFrom="column">
              <wp:posOffset>4970780</wp:posOffset>
            </wp:positionH>
            <wp:positionV relativeFrom="paragraph">
              <wp:posOffset>-2640965</wp:posOffset>
            </wp:positionV>
            <wp:extent cx="2280920" cy="2914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280920" cy="291465"/>
                    </a:xfrm>
                    <a:prstGeom prst="rect">
                      <a:avLst/>
                    </a:prstGeom>
                    <a:noFill/>
                  </pic:spPr>
                </pic:pic>
              </a:graphicData>
            </a:graphic>
          </wp:anchor>
        </w:drawing>
      </w:r>
    </w:p>
    <w:p>
      <w:pPr>
        <w:spacing w:after="0" w:line="182" w:lineRule="exact"/>
        <w:rPr>
          <w:sz w:val="20"/>
          <w:szCs w:val="20"/>
          <w:color w:val="auto"/>
        </w:rPr>
      </w:pPr>
    </w:p>
    <w:p>
      <w:pPr>
        <w:ind w:left="260" w:hanging="252"/>
        <w:spacing w:after="0"/>
        <w:tabs>
          <w:tab w:leader="none" w:pos="2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Includes Banco de la Nacion branches, which in September 18 were 38, in June 19 were 35 and in September 19 were 35.</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11.4. BCP Bolivia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BCP BOLIVIA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4"/>
          </w:tcPr>
          <w:p>
            <w:pPr>
              <w:ind w:left="260"/>
              <w:spacing w:after="0"/>
              <w:rPr>
                <w:sz w:val="20"/>
                <w:szCs w:val="20"/>
                <w:color w:val="auto"/>
              </w:rPr>
            </w:pPr>
            <w:r>
              <w:rPr>
                <w:rFonts w:ascii="Arial" w:cs="Arial" w:eastAsia="Arial" w:hAnsi="Arial"/>
                <w:sz w:val="14"/>
                <w:szCs w:val="14"/>
                <w:b w:val="1"/>
                <w:bCs w:val="1"/>
                <w:color w:val="auto"/>
              </w:rPr>
              <w:t>As of</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5"/>
          </w:tcPr>
          <w:p>
            <w:pPr>
              <w:ind w:left="720"/>
              <w:spacing w:after="0"/>
              <w:rPr>
                <w:sz w:val="20"/>
                <w:szCs w:val="20"/>
                <w:color w:val="auto"/>
              </w:rPr>
            </w:pPr>
            <w:r>
              <w:rPr>
                <w:rFonts w:ascii="Arial" w:cs="Arial" w:eastAsia="Arial" w:hAnsi="Arial"/>
                <w:sz w:val="14"/>
                <w:szCs w:val="14"/>
                <w:b w:val="1"/>
                <w:bCs w:val="1"/>
                <w:color w:val="auto"/>
                <w:w w:val="94"/>
              </w:rPr>
              <w:t>% change</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4"/>
          </w:tcPr>
          <w:p>
            <w:pPr>
              <w:ind w:left="260"/>
              <w:spacing w:after="0"/>
              <w:rPr>
                <w:sz w:val="20"/>
                <w:szCs w:val="20"/>
                <w:color w:val="auto"/>
              </w:rPr>
            </w:pPr>
            <w:r>
              <w:rPr>
                <w:rFonts w:ascii="Arial" w:cs="Arial" w:eastAsia="Arial" w:hAnsi="Arial"/>
                <w:sz w:val="14"/>
                <w:szCs w:val="14"/>
                <w:b w:val="1"/>
                <w:bCs w:val="1"/>
                <w:color w:val="auto"/>
              </w:rPr>
              <w:t>Sep 18</w:t>
            </w:r>
          </w:p>
        </w:tc>
        <w:tc>
          <w:tcPr>
            <w:tcW w:w="1120" w:type="dxa"/>
            <w:vAlign w:val="bottom"/>
            <w:gridSpan w:val="4"/>
          </w:tcPr>
          <w:p>
            <w:pPr>
              <w:ind w:left="240"/>
              <w:spacing w:after="0"/>
              <w:rPr>
                <w:sz w:val="20"/>
                <w:szCs w:val="20"/>
                <w:color w:val="auto"/>
              </w:rPr>
            </w:pPr>
            <w:r>
              <w:rPr>
                <w:rFonts w:ascii="Arial" w:cs="Arial" w:eastAsia="Arial" w:hAnsi="Arial"/>
                <w:sz w:val="14"/>
                <w:szCs w:val="14"/>
                <w:b w:val="1"/>
                <w:bCs w:val="1"/>
                <w:color w:val="auto"/>
              </w:rPr>
              <w:t>Jun 19</w:t>
            </w:r>
          </w:p>
        </w:tc>
        <w:tc>
          <w:tcPr>
            <w:tcW w:w="1120" w:type="dxa"/>
            <w:vAlign w:val="bottom"/>
            <w:gridSpan w:val="4"/>
          </w:tcPr>
          <w:p>
            <w:pPr>
              <w:ind w:left="260"/>
              <w:spacing w:after="0"/>
              <w:rPr>
                <w:sz w:val="20"/>
                <w:szCs w:val="20"/>
                <w:color w:val="auto"/>
              </w:rPr>
            </w:pPr>
            <w:r>
              <w:rPr>
                <w:rFonts w:ascii="Arial" w:cs="Arial" w:eastAsia="Arial" w:hAnsi="Arial"/>
                <w:sz w:val="14"/>
                <w:szCs w:val="14"/>
                <w:b w:val="1"/>
                <w:bCs w:val="1"/>
                <w:color w:val="auto"/>
              </w:rPr>
              <w:t>Set 19</w:t>
            </w:r>
          </w:p>
        </w:tc>
        <w:tc>
          <w:tcPr>
            <w:tcW w:w="1360" w:type="dxa"/>
            <w:vAlign w:val="bottom"/>
            <w:gridSpan w:val="5"/>
          </w:tcPr>
          <w:p>
            <w:pPr>
              <w:ind w:left="300"/>
              <w:spacing w:after="0"/>
              <w:rPr>
                <w:sz w:val="20"/>
                <w:szCs w:val="20"/>
                <w:color w:val="auto"/>
              </w:rPr>
            </w:pPr>
            <w:r>
              <w:rPr>
                <w:rFonts w:ascii="Arial" w:cs="Arial" w:eastAsia="Arial" w:hAnsi="Arial"/>
                <w:sz w:val="14"/>
                <w:szCs w:val="14"/>
                <w:b w:val="1"/>
                <w:bCs w:val="1"/>
                <w:color w:val="auto"/>
              </w:rPr>
              <w:t>QoQ</w:t>
            </w:r>
          </w:p>
        </w:tc>
        <w:tc>
          <w:tcPr>
            <w:tcW w:w="8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YoY</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8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ASSETS</w:t>
            </w:r>
          </w:p>
        </w:tc>
        <w:tc>
          <w:tcPr>
            <w:tcW w:w="8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Cash and due from banks</w:t>
            </w:r>
          </w:p>
        </w:tc>
        <w:tc>
          <w:tcPr>
            <w:tcW w:w="10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1,131,992</w:t>
            </w:r>
          </w:p>
        </w:tc>
        <w:tc>
          <w:tcPr>
            <w:tcW w:w="100" w:type="dxa"/>
            <w:vAlign w:val="bottom"/>
          </w:tcPr>
          <w:p>
            <w:pPr>
              <w:spacing w:after="0"/>
              <w:rPr>
                <w:sz w:val="12"/>
                <w:szCs w:val="12"/>
                <w:color w:val="auto"/>
              </w:rPr>
            </w:pPr>
          </w:p>
        </w:tc>
        <w:tc>
          <w:tcPr>
            <w:tcW w:w="10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1,437,175</w:t>
            </w:r>
          </w:p>
        </w:tc>
        <w:tc>
          <w:tcPr>
            <w:tcW w:w="8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1,458,634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28.9%</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Investments</w:t>
            </w:r>
          </w:p>
        </w:tc>
        <w:tc>
          <w:tcPr>
            <w:tcW w:w="10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1,393,722</w:t>
            </w:r>
          </w:p>
        </w:tc>
        <w:tc>
          <w:tcPr>
            <w:tcW w:w="1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1,214,420</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1,293,203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6.5%</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-7.2%</w:t>
            </w: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Total loans</w:t>
            </w:r>
          </w:p>
        </w:tc>
        <w:tc>
          <w:tcPr>
            <w:tcW w:w="108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rPr>
              <w:t>7,059,563</w:t>
            </w:r>
          </w:p>
        </w:tc>
        <w:tc>
          <w:tcPr>
            <w:tcW w:w="100" w:type="dxa"/>
            <w:vAlign w:val="bottom"/>
          </w:tcPr>
          <w:p>
            <w:pPr>
              <w:spacing w:after="0"/>
              <w:rPr>
                <w:sz w:val="12"/>
                <w:szCs w:val="12"/>
                <w:color w:val="auto"/>
              </w:rPr>
            </w:pPr>
          </w:p>
        </w:tc>
        <w:tc>
          <w:tcPr>
            <w:tcW w:w="104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rPr>
              <w:t>7,277,055</w:t>
            </w:r>
          </w:p>
        </w:tc>
        <w:tc>
          <w:tcPr>
            <w:tcW w:w="8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7,653,370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ind w:right="40"/>
              <w:spacing w:after="0" w:line="149" w:lineRule="exact"/>
              <w:rPr>
                <w:sz w:val="20"/>
                <w:szCs w:val="20"/>
                <w:color w:val="auto"/>
              </w:rPr>
            </w:pPr>
            <w:r>
              <w:rPr>
                <w:rFonts w:ascii="Arial" w:cs="Arial" w:eastAsia="Arial" w:hAnsi="Arial"/>
                <w:sz w:val="14"/>
                <w:szCs w:val="14"/>
                <w:b w:val="1"/>
                <w:bCs w:val="1"/>
                <w:color w:val="auto"/>
              </w:rPr>
              <w:t>5.2%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3"/>
          </w:tcPr>
          <w:p>
            <w:pPr>
              <w:jc w:val="right"/>
              <w:ind w:right="40"/>
              <w:spacing w:after="0" w:line="149" w:lineRule="exact"/>
              <w:rPr>
                <w:sz w:val="20"/>
                <w:szCs w:val="20"/>
                <w:color w:val="auto"/>
              </w:rPr>
            </w:pPr>
            <w:r>
              <w:rPr>
                <w:rFonts w:ascii="Arial" w:cs="Arial" w:eastAsia="Arial" w:hAnsi="Arial"/>
                <w:sz w:val="14"/>
                <w:szCs w:val="14"/>
                <w:b w:val="1"/>
                <w:bCs w:val="1"/>
                <w:color w:val="auto"/>
              </w:rPr>
              <w:t>8.4%</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Current</w:t>
            </w:r>
          </w:p>
        </w:tc>
        <w:tc>
          <w:tcPr>
            <w:tcW w:w="10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6,903,039</w:t>
            </w:r>
          </w:p>
        </w:tc>
        <w:tc>
          <w:tcPr>
            <w:tcW w:w="1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7,115,507</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7,479,263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8.3%</w:t>
            </w: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Internal overdue loans</w:t>
            </w:r>
          </w:p>
        </w:tc>
        <w:tc>
          <w:tcPr>
            <w:tcW w:w="10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136,115</w:t>
            </w:r>
          </w:p>
        </w:tc>
        <w:tc>
          <w:tcPr>
            <w:tcW w:w="100" w:type="dxa"/>
            <w:vAlign w:val="bottom"/>
          </w:tcPr>
          <w:p>
            <w:pPr>
              <w:spacing w:after="0"/>
              <w:rPr>
                <w:sz w:val="12"/>
                <w:szCs w:val="12"/>
                <w:color w:val="auto"/>
              </w:rPr>
            </w:pPr>
          </w:p>
        </w:tc>
        <w:tc>
          <w:tcPr>
            <w:tcW w:w="10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139,487</w:t>
            </w:r>
          </w:p>
        </w:tc>
        <w:tc>
          <w:tcPr>
            <w:tcW w:w="80" w:type="dxa"/>
            <w:vAlign w:val="bottom"/>
          </w:tcPr>
          <w:p>
            <w:pPr>
              <w:spacing w:after="0"/>
              <w:rPr>
                <w:sz w:val="12"/>
                <w:szCs w:val="12"/>
                <w:color w:val="auto"/>
              </w:rPr>
            </w:pPr>
          </w:p>
        </w:tc>
        <w:tc>
          <w:tcPr>
            <w:tcW w:w="10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155,533</w:t>
            </w:r>
          </w:p>
        </w:tc>
        <w:tc>
          <w:tcPr>
            <w:tcW w:w="80" w:type="dxa"/>
            <w:vAlign w:val="bottom"/>
          </w:tcPr>
          <w:p>
            <w:pPr>
              <w:spacing w:after="0"/>
              <w:rPr>
                <w:sz w:val="12"/>
                <w:szCs w:val="12"/>
                <w:color w:val="auto"/>
              </w:rPr>
            </w:pPr>
          </w:p>
        </w:tc>
        <w:tc>
          <w:tcPr>
            <w:tcW w:w="10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11.5%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14.3%</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Refinanced</w:t>
            </w:r>
          </w:p>
        </w:tc>
        <w:tc>
          <w:tcPr>
            <w:tcW w:w="10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20,408</w:t>
            </w:r>
          </w:p>
        </w:tc>
        <w:tc>
          <w:tcPr>
            <w:tcW w:w="1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22,061</w:t>
            </w:r>
          </w:p>
        </w:tc>
        <w:tc>
          <w:tcPr>
            <w:tcW w:w="8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18,573</w:t>
            </w:r>
          </w:p>
        </w:tc>
        <w:tc>
          <w:tcPr>
            <w:tcW w:w="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-15.8%</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-9.0%</w:t>
            </w: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Allowance for loan losses</w:t>
            </w:r>
          </w:p>
        </w:tc>
        <w:tc>
          <w:tcPr>
            <w:tcW w:w="10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-226,682</w:t>
            </w:r>
          </w:p>
        </w:tc>
        <w:tc>
          <w:tcPr>
            <w:tcW w:w="100" w:type="dxa"/>
            <w:vAlign w:val="bottom"/>
          </w:tcPr>
          <w:p>
            <w:pPr>
              <w:spacing w:after="0"/>
              <w:rPr>
                <w:sz w:val="12"/>
                <w:szCs w:val="12"/>
                <w:color w:val="auto"/>
              </w:rPr>
            </w:pPr>
          </w:p>
        </w:tc>
        <w:tc>
          <w:tcPr>
            <w:tcW w:w="10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-231,814</w:t>
            </w:r>
          </w:p>
        </w:tc>
        <w:tc>
          <w:tcPr>
            <w:tcW w:w="80" w:type="dxa"/>
            <w:vAlign w:val="bottom"/>
          </w:tcPr>
          <w:p>
            <w:pPr>
              <w:spacing w:after="0"/>
              <w:rPr>
                <w:sz w:val="12"/>
                <w:szCs w:val="12"/>
                <w:color w:val="auto"/>
              </w:rPr>
            </w:pPr>
          </w:p>
        </w:tc>
        <w:tc>
          <w:tcPr>
            <w:tcW w:w="10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-235,398</w:t>
            </w:r>
          </w:p>
        </w:tc>
        <w:tc>
          <w:tcPr>
            <w:tcW w:w="80" w:type="dxa"/>
            <w:vAlign w:val="bottom"/>
          </w:tcPr>
          <w:p>
            <w:pPr>
              <w:spacing w:after="0"/>
              <w:rPr>
                <w:sz w:val="12"/>
                <w:szCs w:val="12"/>
                <w:color w:val="auto"/>
              </w:rPr>
            </w:pPr>
          </w:p>
        </w:tc>
        <w:tc>
          <w:tcPr>
            <w:tcW w:w="10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3.8%</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loans</w:t>
            </w:r>
          </w:p>
        </w:tc>
        <w:tc>
          <w:tcPr>
            <w:tcW w:w="10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6,832,881</w:t>
            </w:r>
          </w:p>
        </w:tc>
        <w:tc>
          <w:tcPr>
            <w:tcW w:w="1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7,045,241</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7,417,972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5.3%</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8.6%</w:t>
            </w: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Property, plant and equipment, net</w:t>
            </w:r>
          </w:p>
        </w:tc>
        <w:tc>
          <w:tcPr>
            <w:tcW w:w="10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77,069</w:t>
            </w:r>
          </w:p>
        </w:tc>
        <w:tc>
          <w:tcPr>
            <w:tcW w:w="100" w:type="dxa"/>
            <w:vAlign w:val="bottom"/>
          </w:tcPr>
          <w:p>
            <w:pPr>
              <w:spacing w:after="0"/>
              <w:rPr>
                <w:sz w:val="12"/>
                <w:szCs w:val="12"/>
                <w:color w:val="auto"/>
              </w:rPr>
            </w:pPr>
          </w:p>
        </w:tc>
        <w:tc>
          <w:tcPr>
            <w:tcW w:w="10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45,862</w:t>
            </w:r>
          </w:p>
        </w:tc>
        <w:tc>
          <w:tcPr>
            <w:tcW w:w="80" w:type="dxa"/>
            <w:vAlign w:val="bottom"/>
          </w:tcPr>
          <w:p>
            <w:pPr>
              <w:spacing w:after="0"/>
              <w:rPr>
                <w:sz w:val="12"/>
                <w:szCs w:val="12"/>
                <w:color w:val="auto"/>
              </w:rPr>
            </w:pPr>
          </w:p>
        </w:tc>
        <w:tc>
          <w:tcPr>
            <w:tcW w:w="10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49,972</w:t>
            </w:r>
          </w:p>
        </w:tc>
        <w:tc>
          <w:tcPr>
            <w:tcW w:w="80" w:type="dxa"/>
            <w:vAlign w:val="bottom"/>
          </w:tcPr>
          <w:p>
            <w:pPr>
              <w:spacing w:after="0"/>
              <w:rPr>
                <w:sz w:val="12"/>
                <w:szCs w:val="12"/>
                <w:color w:val="auto"/>
              </w:rPr>
            </w:pPr>
          </w:p>
        </w:tc>
        <w:tc>
          <w:tcPr>
            <w:tcW w:w="10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-35.2%</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10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91,372</w:t>
            </w:r>
          </w:p>
        </w:tc>
        <w:tc>
          <w:tcPr>
            <w:tcW w:w="1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101,709</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113,729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11.8%</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24.5%</w:t>
            </w: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ind w:left="680"/>
              <w:spacing w:after="0" w:line="149" w:lineRule="exact"/>
              <w:rPr>
                <w:sz w:val="20"/>
                <w:szCs w:val="20"/>
                <w:color w:val="auto"/>
              </w:rPr>
            </w:pPr>
            <w:r>
              <w:rPr>
                <w:rFonts w:ascii="Arial" w:cs="Arial" w:eastAsia="Arial" w:hAnsi="Arial"/>
                <w:sz w:val="14"/>
                <w:szCs w:val="14"/>
                <w:b w:val="1"/>
                <w:bCs w:val="1"/>
                <w:color w:val="auto"/>
              </w:rPr>
              <w:t>Total assets</w:t>
            </w:r>
          </w:p>
        </w:tc>
        <w:tc>
          <w:tcPr>
            <w:tcW w:w="108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rPr>
              <w:t>9,527,036</w:t>
            </w:r>
          </w:p>
        </w:tc>
        <w:tc>
          <w:tcPr>
            <w:tcW w:w="100" w:type="dxa"/>
            <w:vAlign w:val="bottom"/>
          </w:tcPr>
          <w:p>
            <w:pPr>
              <w:spacing w:after="0"/>
              <w:rPr>
                <w:sz w:val="12"/>
                <w:szCs w:val="12"/>
                <w:color w:val="auto"/>
              </w:rPr>
            </w:pPr>
          </w:p>
        </w:tc>
        <w:tc>
          <w:tcPr>
            <w:tcW w:w="104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rPr>
              <w:t>9,844,408</w:t>
            </w:r>
          </w:p>
        </w:tc>
        <w:tc>
          <w:tcPr>
            <w:tcW w:w="80" w:type="dxa"/>
            <w:vAlign w:val="bottom"/>
          </w:tcPr>
          <w:p>
            <w:pPr>
              <w:spacing w:after="0"/>
              <w:rPr>
                <w:sz w:val="12"/>
                <w:szCs w:val="12"/>
                <w:color w:val="auto"/>
              </w:rPr>
            </w:pPr>
          </w:p>
        </w:tc>
        <w:tc>
          <w:tcPr>
            <w:tcW w:w="104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rPr>
              <w:t>10,333,511</w:t>
            </w:r>
          </w:p>
        </w:tc>
        <w:tc>
          <w:tcPr>
            <w:tcW w:w="80" w:type="dxa"/>
            <w:vAlign w:val="bottom"/>
          </w:tcPr>
          <w:p>
            <w:pPr>
              <w:spacing w:after="0"/>
              <w:rPr>
                <w:sz w:val="12"/>
                <w:szCs w:val="12"/>
                <w:color w:val="auto"/>
              </w:rPr>
            </w:pPr>
          </w:p>
        </w:tc>
        <w:tc>
          <w:tcPr>
            <w:tcW w:w="1080" w:type="dxa"/>
            <w:vAlign w:val="bottom"/>
            <w:gridSpan w:val="3"/>
          </w:tcPr>
          <w:p>
            <w:pPr>
              <w:jc w:val="right"/>
              <w:ind w:right="40"/>
              <w:spacing w:after="0" w:line="149" w:lineRule="exact"/>
              <w:rPr>
                <w:sz w:val="20"/>
                <w:szCs w:val="20"/>
                <w:color w:val="auto"/>
              </w:rPr>
            </w:pPr>
            <w:r>
              <w:rPr>
                <w:rFonts w:ascii="Arial" w:cs="Arial" w:eastAsia="Arial" w:hAnsi="Arial"/>
                <w:sz w:val="14"/>
                <w:szCs w:val="14"/>
                <w:b w:val="1"/>
                <w:bCs w:val="1"/>
                <w:color w:val="auto"/>
              </w:rPr>
              <w:t>5.0%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3"/>
          </w:tcPr>
          <w:p>
            <w:pPr>
              <w:jc w:val="right"/>
              <w:ind w:right="40"/>
              <w:spacing w:after="0" w:line="149" w:lineRule="exact"/>
              <w:rPr>
                <w:sz w:val="20"/>
                <w:szCs w:val="20"/>
                <w:color w:val="auto"/>
              </w:rPr>
            </w:pPr>
            <w:r>
              <w:rPr>
                <w:rFonts w:ascii="Arial" w:cs="Arial" w:eastAsia="Arial" w:hAnsi="Arial"/>
                <w:sz w:val="14"/>
                <w:szCs w:val="14"/>
                <w:b w:val="1"/>
                <w:bCs w:val="1"/>
                <w:color w:val="auto"/>
              </w:rPr>
              <w:t>8.5%</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18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rPr>
              <w:t>LIABILITIES AND NET</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8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SHAREHOLDERS’ EQUITY</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Deposits and obligations</w:t>
            </w:r>
          </w:p>
        </w:tc>
        <w:tc>
          <w:tcPr>
            <w:tcW w:w="10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8,457,011</w:t>
            </w:r>
          </w:p>
        </w:tc>
        <w:tc>
          <w:tcPr>
            <w:tcW w:w="1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8,589,045</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8,985,603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4.6%</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6.3%</w:t>
            </w: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Due to banks and correspondents</w:t>
            </w:r>
          </w:p>
        </w:tc>
        <w:tc>
          <w:tcPr>
            <w:tcW w:w="10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30,026</w:t>
            </w:r>
          </w:p>
        </w:tc>
        <w:tc>
          <w:tcPr>
            <w:tcW w:w="100" w:type="dxa"/>
            <w:vAlign w:val="bottom"/>
          </w:tcPr>
          <w:p>
            <w:pPr>
              <w:spacing w:after="0"/>
              <w:rPr>
                <w:sz w:val="12"/>
                <w:szCs w:val="12"/>
                <w:color w:val="auto"/>
              </w:rPr>
            </w:pPr>
          </w:p>
        </w:tc>
        <w:tc>
          <w:tcPr>
            <w:tcW w:w="10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27,151</w:t>
            </w:r>
          </w:p>
        </w:tc>
        <w:tc>
          <w:tcPr>
            <w:tcW w:w="80" w:type="dxa"/>
            <w:vAlign w:val="bottom"/>
          </w:tcPr>
          <w:p>
            <w:pPr>
              <w:spacing w:after="0"/>
              <w:rPr>
                <w:sz w:val="12"/>
                <w:szCs w:val="12"/>
                <w:color w:val="auto"/>
              </w:rPr>
            </w:pPr>
          </w:p>
        </w:tc>
        <w:tc>
          <w:tcPr>
            <w:tcW w:w="10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29,501</w:t>
            </w:r>
          </w:p>
        </w:tc>
        <w:tc>
          <w:tcPr>
            <w:tcW w:w="80" w:type="dxa"/>
            <w:vAlign w:val="bottom"/>
          </w:tcPr>
          <w:p>
            <w:pPr>
              <w:spacing w:after="0"/>
              <w:rPr>
                <w:sz w:val="12"/>
                <w:szCs w:val="12"/>
                <w:color w:val="auto"/>
              </w:rPr>
            </w:pPr>
          </w:p>
        </w:tc>
        <w:tc>
          <w:tcPr>
            <w:tcW w:w="10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8.7%</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-1.8%</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Bonds and subordinated debt</w:t>
            </w:r>
          </w:p>
        </w:tc>
        <w:tc>
          <w:tcPr>
            <w:tcW w:w="10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102,925</w:t>
            </w:r>
          </w:p>
        </w:tc>
        <w:tc>
          <w:tcPr>
            <w:tcW w:w="1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102,966</w:t>
            </w:r>
          </w:p>
        </w:tc>
        <w:tc>
          <w:tcPr>
            <w:tcW w:w="8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105,678</w:t>
            </w:r>
          </w:p>
        </w:tc>
        <w:tc>
          <w:tcPr>
            <w:tcW w:w="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w:t>
            </w: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Other liabilities</w:t>
            </w:r>
          </w:p>
        </w:tc>
        <w:tc>
          <w:tcPr>
            <w:tcW w:w="10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272,694</w:t>
            </w:r>
          </w:p>
        </w:tc>
        <w:tc>
          <w:tcPr>
            <w:tcW w:w="100" w:type="dxa"/>
            <w:vAlign w:val="bottom"/>
          </w:tcPr>
          <w:p>
            <w:pPr>
              <w:spacing w:after="0"/>
              <w:rPr>
                <w:sz w:val="12"/>
                <w:szCs w:val="12"/>
                <w:color w:val="auto"/>
              </w:rPr>
            </w:pPr>
          </w:p>
        </w:tc>
        <w:tc>
          <w:tcPr>
            <w:tcW w:w="10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434,668</w:t>
            </w:r>
          </w:p>
        </w:tc>
        <w:tc>
          <w:tcPr>
            <w:tcW w:w="80" w:type="dxa"/>
            <w:vAlign w:val="bottom"/>
          </w:tcPr>
          <w:p>
            <w:pPr>
              <w:spacing w:after="0"/>
              <w:rPr>
                <w:sz w:val="12"/>
                <w:szCs w:val="12"/>
                <w:color w:val="auto"/>
              </w:rPr>
            </w:pPr>
          </w:p>
        </w:tc>
        <w:tc>
          <w:tcPr>
            <w:tcW w:w="10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478,255</w:t>
            </w:r>
          </w:p>
        </w:tc>
        <w:tc>
          <w:tcPr>
            <w:tcW w:w="80" w:type="dxa"/>
            <w:vAlign w:val="bottom"/>
          </w:tcPr>
          <w:p>
            <w:pPr>
              <w:spacing w:after="0"/>
              <w:rPr>
                <w:sz w:val="12"/>
                <w:szCs w:val="12"/>
                <w:color w:val="auto"/>
              </w:rPr>
            </w:pPr>
          </w:p>
        </w:tc>
        <w:tc>
          <w:tcPr>
            <w:tcW w:w="10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10.0%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75.4%</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b w:val="1"/>
                <w:bCs w:val="1"/>
                <w:color w:val="auto"/>
              </w:rPr>
              <w:t>Total liabilities</w:t>
            </w:r>
          </w:p>
        </w:tc>
        <w:tc>
          <w:tcPr>
            <w:tcW w:w="10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8,862,656</w:t>
            </w:r>
          </w:p>
        </w:tc>
        <w:tc>
          <w:tcPr>
            <w:tcW w:w="1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9,153,830</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9,599,036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4.9%</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8.3%</w:t>
            </w: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equity</w:t>
            </w:r>
          </w:p>
        </w:tc>
        <w:tc>
          <w:tcPr>
            <w:tcW w:w="10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664,380</w:t>
            </w:r>
          </w:p>
        </w:tc>
        <w:tc>
          <w:tcPr>
            <w:tcW w:w="1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690,579</w:t>
            </w:r>
          </w:p>
        </w:tc>
        <w:tc>
          <w:tcPr>
            <w:tcW w:w="8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734,474</w:t>
            </w:r>
          </w:p>
        </w:tc>
        <w:tc>
          <w:tcPr>
            <w:tcW w:w="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6.4%</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10.6%</w:t>
            </w: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18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TOTAL LIABILITIES AND</w:t>
            </w: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b w:val="1"/>
                <w:bCs w:val="1"/>
                <w:color w:val="auto"/>
              </w:rPr>
              <w:t>NET SHAREHOLDERS’</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18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EQUITY</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9,527,036</w:t>
            </w: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9,844,408</w:t>
            </w:r>
          </w:p>
        </w:tc>
        <w:tc>
          <w:tcPr>
            <w:tcW w:w="8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10,333,511</w:t>
            </w:r>
          </w:p>
        </w:tc>
        <w:tc>
          <w:tcPr>
            <w:tcW w:w="8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5.0%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8.5%</w:t>
            </w: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4"/>
          </w:tcPr>
          <w:p>
            <w:pPr>
              <w:ind w:left="100"/>
              <w:spacing w:after="0"/>
              <w:rPr>
                <w:sz w:val="20"/>
                <w:szCs w:val="20"/>
                <w:color w:val="auto"/>
              </w:rPr>
            </w:pPr>
            <w:r>
              <w:rPr>
                <w:rFonts w:ascii="Arial" w:cs="Arial" w:eastAsia="Arial" w:hAnsi="Arial"/>
                <w:sz w:val="14"/>
                <w:szCs w:val="14"/>
                <w:b w:val="1"/>
                <w:bCs w:val="1"/>
                <w:color w:val="auto"/>
              </w:rPr>
              <w:t>Quarter</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5"/>
          </w:tcPr>
          <w:p>
            <w:pPr>
              <w:ind w:left="660"/>
              <w:spacing w:after="0"/>
              <w:rPr>
                <w:sz w:val="20"/>
                <w:szCs w:val="20"/>
                <w:color w:val="auto"/>
              </w:rPr>
            </w:pPr>
            <w:r>
              <w:rPr>
                <w:rFonts w:ascii="Arial" w:cs="Arial" w:eastAsia="Arial" w:hAnsi="Arial"/>
                <w:sz w:val="14"/>
                <w:szCs w:val="14"/>
                <w:b w:val="1"/>
                <w:bCs w:val="1"/>
                <w:color w:val="auto"/>
              </w:rPr>
              <w:t>% change</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3"/>
          </w:tcPr>
          <w:p>
            <w:pPr>
              <w:ind w:left="880"/>
              <w:spacing w:after="0"/>
              <w:rPr>
                <w:sz w:val="20"/>
                <w:szCs w:val="20"/>
                <w:color w:val="auto"/>
              </w:rPr>
            </w:pPr>
            <w:r>
              <w:rPr>
                <w:rFonts w:ascii="Arial" w:cs="Arial" w:eastAsia="Arial" w:hAnsi="Arial"/>
                <w:sz w:val="14"/>
                <w:szCs w:val="14"/>
                <w:b w:val="1"/>
                <w:bCs w:val="1"/>
                <w:color w:val="auto"/>
              </w:rPr>
              <w:t>YTD</w:t>
            </w: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3Q18</w:t>
            </w:r>
          </w:p>
        </w:tc>
        <w:tc>
          <w:tcPr>
            <w:tcW w:w="240" w:type="dxa"/>
            <w:vAlign w:val="bottom"/>
            <w:tcBorders>
              <w:bottom w:val="single" w:sz="8" w:color="CCEEFF"/>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2Q19</w:t>
            </w:r>
          </w:p>
        </w:tc>
        <w:tc>
          <w:tcPr>
            <w:tcW w:w="240" w:type="dxa"/>
            <w:vAlign w:val="bottom"/>
            <w:tcBorders>
              <w:bottom w:val="single" w:sz="8" w:color="CCEEFF"/>
            </w:tcBorders>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3Q19</w:t>
            </w:r>
          </w:p>
        </w:tc>
        <w:tc>
          <w:tcPr>
            <w:tcW w:w="220" w:type="dxa"/>
            <w:vAlign w:val="bottom"/>
            <w:tcBorders>
              <w:bottom w:val="single" w:sz="8" w:color="CCEEFF"/>
            </w:tcBorders>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EEFF"/>
            </w:tcBorders>
            <w:gridSpan w:val="2"/>
          </w:tcPr>
          <w:p>
            <w:pPr>
              <w:spacing w:after="0"/>
              <w:rPr>
                <w:sz w:val="14"/>
                <w:szCs w:val="14"/>
                <w:color w:val="auto"/>
              </w:rPr>
            </w:pPr>
          </w:p>
        </w:tc>
        <w:tc>
          <w:tcPr>
            <w:tcW w:w="280" w:type="dxa"/>
            <w:vAlign w:val="bottom"/>
            <w:tcBorders>
              <w:bottom w:val="single" w:sz="8" w:color="auto"/>
            </w:tcBorders>
            <w:gridSpan w:val="2"/>
          </w:tcPr>
          <w:p>
            <w:pPr>
              <w:spacing w:after="0"/>
              <w:rPr>
                <w:sz w:val="14"/>
                <w:szCs w:val="14"/>
                <w:color w:val="auto"/>
              </w:rPr>
            </w:pPr>
          </w:p>
        </w:tc>
        <w:tc>
          <w:tcPr>
            <w:tcW w:w="6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YoY</w:t>
            </w:r>
          </w:p>
        </w:tc>
        <w:tc>
          <w:tcPr>
            <w:tcW w:w="240" w:type="dxa"/>
            <w:vAlign w:val="bottom"/>
            <w:tcBorders>
              <w:bottom w:val="single" w:sz="8" w:color="CCEEFF"/>
            </w:tcBorders>
            <w:gridSpan w:val="2"/>
          </w:tcPr>
          <w:p>
            <w:pPr>
              <w:spacing w:after="0"/>
              <w:rPr>
                <w:sz w:val="14"/>
                <w:szCs w:val="14"/>
                <w:color w:val="auto"/>
              </w:rPr>
            </w:pPr>
          </w:p>
        </w:tc>
        <w:tc>
          <w:tcPr>
            <w:tcW w:w="9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Sep 18</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Sep 19</w:t>
            </w:r>
          </w:p>
        </w:tc>
        <w:tc>
          <w:tcPr>
            <w:tcW w:w="24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8"/>
              </w:rPr>
              <w:t>Sep 19 / Sep 18</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interest income</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82,737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81,048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84,321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1.9%</w:t>
            </w: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227,113</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243,063</w:t>
            </w:r>
          </w:p>
        </w:tc>
        <w:tc>
          <w:tcPr>
            <w:tcW w:w="2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80" w:type="dxa"/>
            <w:vAlign w:val="bottom"/>
            <w:gridSpan w:val="2"/>
          </w:tcPr>
          <w:p>
            <w:pPr>
              <w:spacing w:after="0" w:line="130" w:lineRule="exact"/>
              <w:rPr>
                <w:sz w:val="20"/>
                <w:szCs w:val="20"/>
                <w:color w:val="auto"/>
              </w:rPr>
            </w:pPr>
            <w:r>
              <w:rPr>
                <w:rFonts w:ascii="Arial" w:cs="Arial" w:eastAsia="Arial" w:hAnsi="Arial"/>
                <w:sz w:val="14"/>
                <w:szCs w:val="14"/>
                <w:color w:val="auto"/>
              </w:rPr>
              <w:t>Provision for loan losses, net of</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gridSpan w:val="2"/>
          </w:tcPr>
          <w:p>
            <w:pPr>
              <w:ind w:left="160"/>
              <w:spacing w:after="0"/>
              <w:rPr>
                <w:sz w:val="20"/>
                <w:szCs w:val="20"/>
                <w:color w:val="auto"/>
              </w:rPr>
            </w:pPr>
            <w:r>
              <w:rPr>
                <w:rFonts w:ascii="Arial" w:cs="Arial" w:eastAsia="Arial" w:hAnsi="Arial"/>
                <w:sz w:val="14"/>
                <w:szCs w:val="14"/>
                <w:color w:val="auto"/>
              </w:rPr>
              <w:t>recoveries</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-15,325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-13,459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-8,866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4"/>
                <w:szCs w:val="14"/>
                <w:color w:val="auto"/>
              </w:rPr>
              <w:t>-34.1%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4"/>
                <w:szCs w:val="14"/>
                <w:color w:val="auto"/>
              </w:rPr>
              <w:t>-42.1%</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-35,270</w:t>
            </w:r>
          </w:p>
        </w:tc>
        <w:tc>
          <w:tcPr>
            <w:tcW w:w="14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-36,885</w:t>
            </w: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18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Net interest income after</w:t>
            </w:r>
          </w:p>
        </w:tc>
        <w:tc>
          <w:tcPr>
            <w:tcW w:w="9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67,412</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67,589</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75,455</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11.6%</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11.9%</w:t>
            </w: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191,844</w:t>
            </w:r>
          </w:p>
        </w:tc>
        <w:tc>
          <w:tcPr>
            <w:tcW w:w="14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206,178</w:t>
            </w:r>
          </w:p>
        </w:tc>
        <w:tc>
          <w:tcPr>
            <w:tcW w:w="12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8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provisions</w:t>
            </w:r>
          </w:p>
        </w:tc>
        <w:tc>
          <w:tcPr>
            <w:tcW w:w="9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3"/>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2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Non-financial income</w:t>
            </w: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22,775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30,232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34,036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12.6%</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49.4%</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92,846</w:t>
            </w:r>
          </w:p>
        </w:tc>
        <w:tc>
          <w:tcPr>
            <w:tcW w:w="14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93,280</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expenses</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-64,798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-60,149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-66,523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10.6%</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w:t>
            </w: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-197,570</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-199,668</w:t>
            </w:r>
          </w:p>
        </w:tc>
        <w:tc>
          <w:tcPr>
            <w:tcW w:w="1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Translation result</w:t>
            </w: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5"/>
          </w:tcPr>
          <w:p>
            <w:pPr>
              <w:jc w:val="right"/>
              <w:ind w:right="520"/>
              <w:spacing w:after="0" w:line="149" w:lineRule="exact"/>
              <w:rPr>
                <w:sz w:val="20"/>
                <w:szCs w:val="20"/>
                <w:color w:val="auto"/>
              </w:rPr>
            </w:pPr>
            <w:r>
              <w:rPr>
                <w:rFonts w:ascii="Arial" w:cs="Arial" w:eastAsia="Arial" w:hAnsi="Arial"/>
                <w:sz w:val="14"/>
                <w:szCs w:val="14"/>
                <w:color w:val="auto"/>
              </w:rPr>
              <w:t>N/A</w:t>
            </w:r>
          </w:p>
        </w:tc>
        <w:tc>
          <w:tcPr>
            <w:tcW w:w="8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-47.7%</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-169</w:t>
            </w:r>
          </w:p>
        </w:tc>
        <w:tc>
          <w:tcPr>
            <w:tcW w:w="14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Income taxes</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-10,016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-10,864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-17,386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60.0%</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73.6%</w:t>
            </w: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-31,566</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-34,755</w:t>
            </w:r>
          </w:p>
        </w:tc>
        <w:tc>
          <w:tcPr>
            <w:tcW w:w="1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15,360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26,807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25,575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-4.6%</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66.5%</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55,384</w:t>
            </w:r>
          </w:p>
        </w:tc>
        <w:tc>
          <w:tcPr>
            <w:tcW w:w="14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65,021</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180" w:type="dxa"/>
            <w:vAlign w:val="bottom"/>
            <w:gridSpan w:val="2"/>
          </w:tcPr>
          <w:p>
            <w:pPr>
              <w:spacing w:after="0" w:line="189" w:lineRule="exact"/>
              <w:rPr>
                <w:sz w:val="20"/>
                <w:szCs w:val="20"/>
                <w:color w:val="auto"/>
              </w:rPr>
            </w:pPr>
            <w:r>
              <w:rPr>
                <w:rFonts w:ascii="Arial" w:cs="Arial" w:eastAsia="Arial" w:hAnsi="Arial"/>
                <w:sz w:val="13"/>
                <w:szCs w:val="13"/>
                <w:color w:val="auto"/>
              </w:rPr>
              <w:t xml:space="preserve">Efficiency ratio </w:t>
            </w:r>
            <w:r>
              <w:rPr>
                <w:rFonts w:ascii="Arial" w:cs="Arial" w:eastAsia="Arial" w:hAnsi="Arial"/>
                <w:sz w:val="21"/>
                <w:szCs w:val="21"/>
                <w:color w:val="auto"/>
                <w:vertAlign w:val="superscript"/>
              </w:rPr>
              <w:t>(1)</w:t>
            </w:r>
          </w:p>
        </w:tc>
        <w:tc>
          <w:tcPr>
            <w:tcW w:w="1080" w:type="dxa"/>
            <w:vAlign w:val="bottom"/>
            <w:gridSpan w:val="3"/>
          </w:tcPr>
          <w:p>
            <w:pPr>
              <w:jc w:val="right"/>
              <w:ind w:right="120"/>
              <w:spacing w:after="0"/>
              <w:rPr>
                <w:sz w:val="20"/>
                <w:szCs w:val="20"/>
                <w:color w:val="auto"/>
              </w:rPr>
            </w:pPr>
            <w:r>
              <w:rPr>
                <w:rFonts w:ascii="Arial" w:cs="Arial" w:eastAsia="Arial" w:hAnsi="Arial"/>
                <w:sz w:val="14"/>
                <w:szCs w:val="14"/>
                <w:color w:val="auto"/>
              </w:rPr>
              <w:t>60.2%</w:t>
            </w:r>
          </w:p>
        </w:tc>
        <w:tc>
          <w:tcPr>
            <w:tcW w:w="100" w:type="dxa"/>
            <w:vAlign w:val="bottom"/>
          </w:tcPr>
          <w:p>
            <w:pPr>
              <w:spacing w:after="0"/>
              <w:rPr>
                <w:sz w:val="16"/>
                <w:szCs w:val="16"/>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4"/>
                <w:szCs w:val="14"/>
                <w:color w:val="auto"/>
              </w:rPr>
              <w:t>61.7%</w:t>
            </w:r>
          </w:p>
        </w:tc>
        <w:tc>
          <w:tcPr>
            <w:tcW w:w="80" w:type="dxa"/>
            <w:vAlign w:val="bottom"/>
          </w:tcPr>
          <w:p>
            <w:pPr>
              <w:spacing w:after="0"/>
              <w:rPr>
                <w:sz w:val="16"/>
                <w:szCs w:val="16"/>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4"/>
                <w:szCs w:val="14"/>
                <w:color w:val="auto"/>
              </w:rPr>
              <w:t>56.8%</w:t>
            </w:r>
          </w:p>
        </w:tc>
        <w:tc>
          <w:tcPr>
            <w:tcW w:w="80" w:type="dxa"/>
            <w:vAlign w:val="bottom"/>
          </w:tcPr>
          <w:p>
            <w:pPr>
              <w:spacing w:after="0"/>
              <w:rPr>
                <w:sz w:val="16"/>
                <w:szCs w:val="16"/>
                <w:color w:val="auto"/>
              </w:rPr>
            </w:pPr>
          </w:p>
        </w:tc>
        <w:tc>
          <w:tcPr>
            <w:tcW w:w="1360" w:type="dxa"/>
            <w:vAlign w:val="bottom"/>
            <w:gridSpan w:val="5"/>
          </w:tcPr>
          <w:p>
            <w:pPr>
              <w:jc w:val="right"/>
              <w:ind w:right="520"/>
              <w:spacing w:after="0"/>
              <w:rPr>
                <w:sz w:val="20"/>
                <w:szCs w:val="20"/>
                <w:color w:val="auto"/>
              </w:rPr>
            </w:pPr>
            <w:r>
              <w:rPr>
                <w:rFonts w:ascii="Arial" w:cs="Arial" w:eastAsia="Arial" w:hAnsi="Arial"/>
                <w:sz w:val="14"/>
                <w:szCs w:val="14"/>
                <w:color w:val="auto"/>
              </w:rPr>
              <w:t>-490 bps</w:t>
            </w:r>
          </w:p>
        </w:tc>
        <w:tc>
          <w:tcPr>
            <w:tcW w:w="880" w:type="dxa"/>
            <w:vAlign w:val="bottom"/>
            <w:gridSpan w:val="3"/>
          </w:tcPr>
          <w:p>
            <w:pPr>
              <w:jc w:val="right"/>
              <w:ind w:right="240"/>
              <w:spacing w:after="0"/>
              <w:rPr>
                <w:sz w:val="20"/>
                <w:szCs w:val="20"/>
                <w:color w:val="auto"/>
              </w:rPr>
            </w:pPr>
            <w:r>
              <w:rPr>
                <w:rFonts w:ascii="Arial" w:cs="Arial" w:eastAsia="Arial" w:hAnsi="Arial"/>
                <w:sz w:val="14"/>
                <w:szCs w:val="14"/>
                <w:color w:val="auto"/>
              </w:rPr>
              <w:t>-340 bps</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62.6%</w:t>
            </w:r>
          </w:p>
        </w:tc>
        <w:tc>
          <w:tcPr>
            <w:tcW w:w="1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60.0%</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-260 pbs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ROAE</w:t>
            </w:r>
          </w:p>
        </w:tc>
        <w:tc>
          <w:tcPr>
            <w:tcW w:w="10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15.8%</w:t>
            </w:r>
          </w:p>
        </w:tc>
        <w:tc>
          <w:tcPr>
            <w:tcW w:w="8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14.4%</w:t>
            </w:r>
          </w:p>
        </w:tc>
        <w:tc>
          <w:tcPr>
            <w:tcW w:w="80" w:type="dxa"/>
            <w:vAlign w:val="bottom"/>
            <w:shd w:val="clear" w:color="auto" w:fill="CCEEFF"/>
          </w:tcPr>
          <w:p>
            <w:pPr>
              <w:spacing w:after="0"/>
              <w:rPr>
                <w:sz w:val="12"/>
                <w:szCs w:val="12"/>
                <w:color w:val="auto"/>
              </w:rPr>
            </w:pPr>
          </w:p>
        </w:tc>
        <w:tc>
          <w:tcPr>
            <w:tcW w:w="1360" w:type="dxa"/>
            <w:vAlign w:val="bottom"/>
            <w:gridSpan w:val="5"/>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-140 bps</w:t>
            </w:r>
          </w:p>
        </w:tc>
        <w:tc>
          <w:tcPr>
            <w:tcW w:w="88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489 bps</w:t>
            </w: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11.4%</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12.2%</w:t>
            </w:r>
          </w:p>
        </w:tc>
        <w:tc>
          <w:tcPr>
            <w:tcW w:w="12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81 pbs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L/D ratio</w:t>
            </w:r>
          </w:p>
        </w:tc>
        <w:tc>
          <w:tcPr>
            <w:tcW w:w="10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83.5%</w:t>
            </w:r>
          </w:p>
        </w:tc>
        <w:tc>
          <w:tcPr>
            <w:tcW w:w="100" w:type="dxa"/>
            <w:vAlign w:val="bottom"/>
          </w:tcPr>
          <w:p>
            <w:pPr>
              <w:spacing w:after="0"/>
              <w:rPr>
                <w:sz w:val="12"/>
                <w:szCs w:val="12"/>
                <w:color w:val="auto"/>
              </w:rPr>
            </w:pP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84.7%</w:t>
            </w:r>
          </w:p>
        </w:tc>
        <w:tc>
          <w:tcPr>
            <w:tcW w:w="80" w:type="dxa"/>
            <w:vAlign w:val="bottom"/>
          </w:tcPr>
          <w:p>
            <w:pPr>
              <w:spacing w:after="0"/>
              <w:rPr>
                <w:sz w:val="12"/>
                <w:szCs w:val="12"/>
                <w:color w:val="auto"/>
              </w:rPr>
            </w:pPr>
          </w:p>
        </w:tc>
        <w:tc>
          <w:tcPr>
            <w:tcW w:w="10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85.2%</w:t>
            </w:r>
          </w:p>
        </w:tc>
        <w:tc>
          <w:tcPr>
            <w:tcW w:w="80" w:type="dxa"/>
            <w:vAlign w:val="bottom"/>
          </w:tcPr>
          <w:p>
            <w:pPr>
              <w:spacing w:after="0"/>
              <w:rPr>
                <w:sz w:val="12"/>
                <w:szCs w:val="12"/>
                <w:color w:val="auto"/>
              </w:rPr>
            </w:pPr>
          </w:p>
        </w:tc>
        <w:tc>
          <w:tcPr>
            <w:tcW w:w="1360" w:type="dxa"/>
            <w:vAlign w:val="bottom"/>
            <w:gridSpan w:val="5"/>
          </w:tcPr>
          <w:p>
            <w:pPr>
              <w:jc w:val="right"/>
              <w:ind w:right="520"/>
              <w:spacing w:after="0" w:line="149" w:lineRule="exact"/>
              <w:rPr>
                <w:sz w:val="20"/>
                <w:szCs w:val="20"/>
                <w:color w:val="auto"/>
              </w:rPr>
            </w:pPr>
            <w:r>
              <w:rPr>
                <w:rFonts w:ascii="Arial" w:cs="Arial" w:eastAsia="Arial" w:hAnsi="Arial"/>
                <w:sz w:val="14"/>
                <w:szCs w:val="14"/>
                <w:color w:val="auto"/>
              </w:rPr>
              <w:t>50 bps</w:t>
            </w:r>
          </w:p>
        </w:tc>
        <w:tc>
          <w:tcPr>
            <w:tcW w:w="88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169 bps</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IOL ratio</w:t>
            </w:r>
          </w:p>
        </w:tc>
        <w:tc>
          <w:tcPr>
            <w:tcW w:w="10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1.93%</w:t>
            </w:r>
          </w:p>
        </w:tc>
        <w:tc>
          <w:tcPr>
            <w:tcW w:w="1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1.92%</w:t>
            </w:r>
          </w:p>
        </w:tc>
        <w:tc>
          <w:tcPr>
            <w:tcW w:w="8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2.03%</w:t>
            </w:r>
          </w:p>
        </w:tc>
        <w:tc>
          <w:tcPr>
            <w:tcW w:w="80" w:type="dxa"/>
            <w:vAlign w:val="bottom"/>
            <w:shd w:val="clear" w:color="auto" w:fill="CCEEFF"/>
          </w:tcPr>
          <w:p>
            <w:pPr>
              <w:spacing w:after="0"/>
              <w:rPr>
                <w:sz w:val="12"/>
                <w:szCs w:val="12"/>
                <w:color w:val="auto"/>
              </w:rPr>
            </w:pPr>
          </w:p>
        </w:tc>
        <w:tc>
          <w:tcPr>
            <w:tcW w:w="1360" w:type="dxa"/>
            <w:vAlign w:val="bottom"/>
            <w:gridSpan w:val="5"/>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10 bps</w:t>
            </w:r>
          </w:p>
        </w:tc>
        <w:tc>
          <w:tcPr>
            <w:tcW w:w="88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 bps</w:t>
            </w: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NPL ratio</w:t>
            </w:r>
          </w:p>
        </w:tc>
        <w:tc>
          <w:tcPr>
            <w:tcW w:w="10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2.22%</w:t>
            </w:r>
          </w:p>
        </w:tc>
        <w:tc>
          <w:tcPr>
            <w:tcW w:w="100" w:type="dxa"/>
            <w:vAlign w:val="bottom"/>
          </w:tcPr>
          <w:p>
            <w:pPr>
              <w:spacing w:after="0"/>
              <w:rPr>
                <w:sz w:val="12"/>
                <w:szCs w:val="12"/>
                <w:color w:val="auto"/>
              </w:rPr>
            </w:pP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2.22%</w:t>
            </w:r>
          </w:p>
        </w:tc>
        <w:tc>
          <w:tcPr>
            <w:tcW w:w="80" w:type="dxa"/>
            <w:vAlign w:val="bottom"/>
          </w:tcPr>
          <w:p>
            <w:pPr>
              <w:spacing w:after="0"/>
              <w:rPr>
                <w:sz w:val="12"/>
                <w:szCs w:val="12"/>
                <w:color w:val="auto"/>
              </w:rPr>
            </w:pPr>
          </w:p>
        </w:tc>
        <w:tc>
          <w:tcPr>
            <w:tcW w:w="10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2.27%</w:t>
            </w:r>
          </w:p>
        </w:tc>
        <w:tc>
          <w:tcPr>
            <w:tcW w:w="80" w:type="dxa"/>
            <w:vAlign w:val="bottom"/>
          </w:tcPr>
          <w:p>
            <w:pPr>
              <w:spacing w:after="0"/>
              <w:rPr>
                <w:sz w:val="12"/>
                <w:szCs w:val="12"/>
                <w:color w:val="auto"/>
              </w:rPr>
            </w:pPr>
          </w:p>
        </w:tc>
        <w:tc>
          <w:tcPr>
            <w:tcW w:w="1360" w:type="dxa"/>
            <w:vAlign w:val="bottom"/>
            <w:gridSpan w:val="5"/>
          </w:tcPr>
          <w:p>
            <w:pPr>
              <w:jc w:val="right"/>
              <w:ind w:right="520"/>
              <w:spacing w:after="0" w:line="149" w:lineRule="exact"/>
              <w:rPr>
                <w:sz w:val="20"/>
                <w:szCs w:val="20"/>
                <w:color w:val="auto"/>
              </w:rPr>
            </w:pPr>
            <w:r>
              <w:rPr>
                <w:rFonts w:ascii="Arial" w:cs="Arial" w:eastAsia="Arial" w:hAnsi="Arial"/>
                <w:sz w:val="14"/>
                <w:szCs w:val="14"/>
                <w:color w:val="auto"/>
              </w:rPr>
              <w:t>10 bps</w:t>
            </w:r>
          </w:p>
        </w:tc>
        <w:tc>
          <w:tcPr>
            <w:tcW w:w="88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5 bps</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Coverage of IOLs</w:t>
            </w:r>
          </w:p>
        </w:tc>
        <w:tc>
          <w:tcPr>
            <w:tcW w:w="10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166.5%</w:t>
            </w:r>
          </w:p>
        </w:tc>
        <w:tc>
          <w:tcPr>
            <w:tcW w:w="1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166.2%</w:t>
            </w:r>
          </w:p>
        </w:tc>
        <w:tc>
          <w:tcPr>
            <w:tcW w:w="8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151.3%</w:t>
            </w:r>
          </w:p>
        </w:tc>
        <w:tc>
          <w:tcPr>
            <w:tcW w:w="80" w:type="dxa"/>
            <w:vAlign w:val="bottom"/>
            <w:shd w:val="clear" w:color="auto" w:fill="CCEEFF"/>
          </w:tcPr>
          <w:p>
            <w:pPr>
              <w:spacing w:after="0"/>
              <w:rPr>
                <w:sz w:val="12"/>
                <w:szCs w:val="12"/>
                <w:color w:val="auto"/>
              </w:rPr>
            </w:pPr>
          </w:p>
        </w:tc>
        <w:tc>
          <w:tcPr>
            <w:tcW w:w="1360" w:type="dxa"/>
            <w:vAlign w:val="bottom"/>
            <w:gridSpan w:val="5"/>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-1490 bps</w:t>
            </w:r>
          </w:p>
        </w:tc>
        <w:tc>
          <w:tcPr>
            <w:tcW w:w="88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9"/>
              </w:rPr>
              <w:t>-1519 bps</w:t>
            </w: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Coverage of NPLs</w:t>
            </w:r>
          </w:p>
        </w:tc>
        <w:tc>
          <w:tcPr>
            <w:tcW w:w="10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144.8%</w:t>
            </w:r>
          </w:p>
        </w:tc>
        <w:tc>
          <w:tcPr>
            <w:tcW w:w="100" w:type="dxa"/>
            <w:vAlign w:val="bottom"/>
          </w:tcPr>
          <w:p>
            <w:pPr>
              <w:spacing w:after="0"/>
              <w:rPr>
                <w:sz w:val="12"/>
                <w:szCs w:val="12"/>
                <w:color w:val="auto"/>
              </w:rPr>
            </w:pP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143.5%</w:t>
            </w:r>
          </w:p>
        </w:tc>
        <w:tc>
          <w:tcPr>
            <w:tcW w:w="80" w:type="dxa"/>
            <w:vAlign w:val="bottom"/>
          </w:tcPr>
          <w:p>
            <w:pPr>
              <w:spacing w:after="0"/>
              <w:rPr>
                <w:sz w:val="12"/>
                <w:szCs w:val="12"/>
                <w:color w:val="auto"/>
              </w:rPr>
            </w:pPr>
          </w:p>
        </w:tc>
        <w:tc>
          <w:tcPr>
            <w:tcW w:w="10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135.2%</w:t>
            </w:r>
          </w:p>
        </w:tc>
        <w:tc>
          <w:tcPr>
            <w:tcW w:w="80" w:type="dxa"/>
            <w:vAlign w:val="bottom"/>
          </w:tcPr>
          <w:p>
            <w:pPr>
              <w:spacing w:after="0"/>
              <w:rPr>
                <w:sz w:val="12"/>
                <w:szCs w:val="12"/>
                <w:color w:val="auto"/>
              </w:rPr>
            </w:pPr>
          </w:p>
        </w:tc>
        <w:tc>
          <w:tcPr>
            <w:tcW w:w="1360" w:type="dxa"/>
            <w:vAlign w:val="bottom"/>
            <w:gridSpan w:val="5"/>
          </w:tcPr>
          <w:p>
            <w:pPr>
              <w:jc w:val="right"/>
              <w:ind w:right="520"/>
              <w:spacing w:after="0" w:line="149" w:lineRule="exact"/>
              <w:rPr>
                <w:sz w:val="20"/>
                <w:szCs w:val="20"/>
                <w:color w:val="auto"/>
              </w:rPr>
            </w:pPr>
            <w:r>
              <w:rPr>
                <w:rFonts w:ascii="Arial" w:cs="Arial" w:eastAsia="Arial" w:hAnsi="Arial"/>
                <w:sz w:val="14"/>
                <w:szCs w:val="14"/>
                <w:color w:val="auto"/>
              </w:rPr>
              <w:t>-830 bps</w:t>
            </w:r>
          </w:p>
        </w:tc>
        <w:tc>
          <w:tcPr>
            <w:tcW w:w="88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-962 bps</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Branches</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Agentes</w:t>
            </w: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388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438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50</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120</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18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 xml:space="preserve">ATMs </w:t>
            </w:r>
            <w:r>
              <w:rPr>
                <w:rFonts w:ascii="Arial" w:cs="Arial" w:eastAsia="Arial" w:hAnsi="Arial"/>
                <w:sz w:val="21"/>
                <w:szCs w:val="21"/>
                <w:color w:val="auto"/>
                <w:vertAlign w:val="superscript"/>
              </w:rPr>
              <w:t>(1)</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278</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303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80" w:type="dxa"/>
            <w:vAlign w:val="bottom"/>
            <w:gridSpan w:val="2"/>
          </w:tcPr>
          <w:p>
            <w:pPr>
              <w:spacing w:after="0"/>
              <w:rPr>
                <w:sz w:val="20"/>
                <w:szCs w:val="20"/>
                <w:color w:val="auto"/>
              </w:rPr>
            </w:pPr>
            <w:r>
              <w:rPr>
                <w:rFonts w:ascii="Arial" w:cs="Arial" w:eastAsia="Arial" w:hAnsi="Arial"/>
                <w:sz w:val="14"/>
                <w:szCs w:val="14"/>
                <w:color w:val="auto"/>
              </w:rPr>
              <w:t>Employees</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1,732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1,729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1,723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-9</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4970780</wp:posOffset>
            </wp:positionH>
            <wp:positionV relativeFrom="paragraph">
              <wp:posOffset>-5088890</wp:posOffset>
            </wp:positionV>
            <wp:extent cx="2280920" cy="1028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280920" cy="102870"/>
                    </a:xfrm>
                    <a:prstGeom prst="rect">
                      <a:avLst/>
                    </a:prstGeom>
                    <a:noFill/>
                  </pic:spPr>
                </pic:pic>
              </a:graphicData>
            </a:graphic>
          </wp:anchor>
        </w:drawing>
        <w:drawing>
          <wp:anchor simplePos="0" relativeHeight="251657728" behindDoc="1" locked="0" layoutInCell="0" allowOverlap="1">
            <wp:simplePos x="0" y="0"/>
            <wp:positionH relativeFrom="column">
              <wp:posOffset>4970780</wp:posOffset>
            </wp:positionH>
            <wp:positionV relativeFrom="paragraph">
              <wp:posOffset>-4892040</wp:posOffset>
            </wp:positionV>
            <wp:extent cx="2280920" cy="946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280920" cy="94615"/>
                    </a:xfrm>
                    <a:prstGeom prst="rect">
                      <a:avLst/>
                    </a:prstGeom>
                    <a:noFill/>
                  </pic:spPr>
                </pic:pic>
              </a:graphicData>
            </a:graphic>
          </wp:anchor>
        </w:drawing>
        <w:drawing>
          <wp:anchor simplePos="0" relativeHeight="251657728" behindDoc="1" locked="0" layoutInCell="0" allowOverlap="1">
            <wp:simplePos x="0" y="0"/>
            <wp:positionH relativeFrom="column">
              <wp:posOffset>4970780</wp:posOffset>
            </wp:positionH>
            <wp:positionV relativeFrom="paragraph">
              <wp:posOffset>-4703445</wp:posOffset>
            </wp:positionV>
            <wp:extent cx="2280920" cy="946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280920" cy="94615"/>
                    </a:xfrm>
                    <a:prstGeom prst="rect">
                      <a:avLst/>
                    </a:prstGeom>
                    <a:noFill/>
                  </pic:spPr>
                </pic:pic>
              </a:graphicData>
            </a:graphic>
          </wp:anchor>
        </w:drawing>
        <w:drawing>
          <wp:anchor simplePos="0" relativeHeight="251657728" behindDoc="1" locked="0" layoutInCell="0" allowOverlap="1">
            <wp:simplePos x="0" y="0"/>
            <wp:positionH relativeFrom="column">
              <wp:posOffset>4970780</wp:posOffset>
            </wp:positionH>
            <wp:positionV relativeFrom="paragraph">
              <wp:posOffset>-4514215</wp:posOffset>
            </wp:positionV>
            <wp:extent cx="2280920" cy="946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280920" cy="94615"/>
                    </a:xfrm>
                    <a:prstGeom prst="rect">
                      <a:avLst/>
                    </a:prstGeom>
                    <a:noFill/>
                  </pic:spPr>
                </pic:pic>
              </a:graphicData>
            </a:graphic>
          </wp:anchor>
        </w:drawing>
        <w:drawing>
          <wp:anchor simplePos="0" relativeHeight="251657728" behindDoc="1" locked="0" layoutInCell="0" allowOverlap="1">
            <wp:simplePos x="0" y="0"/>
            <wp:positionH relativeFrom="column">
              <wp:posOffset>4970780</wp:posOffset>
            </wp:positionH>
            <wp:positionV relativeFrom="paragraph">
              <wp:posOffset>-4325620</wp:posOffset>
            </wp:positionV>
            <wp:extent cx="2280920" cy="946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280920" cy="94615"/>
                    </a:xfrm>
                    <a:prstGeom prst="rect">
                      <a:avLst/>
                    </a:prstGeom>
                    <a:noFill/>
                  </pic:spPr>
                </pic:pic>
              </a:graphicData>
            </a:graphic>
          </wp:anchor>
        </w:drawing>
        <w:drawing>
          <wp:anchor simplePos="0" relativeHeight="251657728" behindDoc="1" locked="0" layoutInCell="0" allowOverlap="1">
            <wp:simplePos x="0" y="0"/>
            <wp:positionH relativeFrom="column">
              <wp:posOffset>4970780</wp:posOffset>
            </wp:positionH>
            <wp:positionV relativeFrom="paragraph">
              <wp:posOffset>-4137025</wp:posOffset>
            </wp:positionV>
            <wp:extent cx="2280920" cy="946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280920" cy="94615"/>
                    </a:xfrm>
                    <a:prstGeom prst="rect">
                      <a:avLst/>
                    </a:prstGeom>
                    <a:noFill/>
                  </pic:spPr>
                </pic:pic>
              </a:graphicData>
            </a:graphic>
          </wp:anchor>
        </w:drawing>
        <w:drawing>
          <wp:anchor simplePos="0" relativeHeight="251657728" behindDoc="1" locked="0" layoutInCell="0" allowOverlap="1">
            <wp:simplePos x="0" y="0"/>
            <wp:positionH relativeFrom="column">
              <wp:posOffset>4970780</wp:posOffset>
            </wp:positionH>
            <wp:positionV relativeFrom="paragraph">
              <wp:posOffset>-3948430</wp:posOffset>
            </wp:positionV>
            <wp:extent cx="2280920"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280920" cy="137160"/>
                    </a:xfrm>
                    <a:prstGeom prst="rect">
                      <a:avLst/>
                    </a:prstGeom>
                    <a:noFill/>
                  </pic:spPr>
                </pic:pic>
              </a:graphicData>
            </a:graphic>
          </wp:anchor>
        </w:drawing>
        <w:drawing>
          <wp:anchor simplePos="0" relativeHeight="251657728" behindDoc="1" locked="0" layoutInCell="0" allowOverlap="1">
            <wp:simplePos x="0" y="0"/>
            <wp:positionH relativeFrom="column">
              <wp:posOffset>4970780</wp:posOffset>
            </wp:positionH>
            <wp:positionV relativeFrom="paragraph">
              <wp:posOffset>-3622675</wp:posOffset>
            </wp:positionV>
            <wp:extent cx="2280920" cy="946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280920" cy="94615"/>
                    </a:xfrm>
                    <a:prstGeom prst="rect">
                      <a:avLst/>
                    </a:prstGeom>
                    <a:noFill/>
                  </pic:spPr>
                </pic:pic>
              </a:graphicData>
            </a:graphic>
          </wp:anchor>
        </w:drawing>
        <w:drawing>
          <wp:anchor simplePos="0" relativeHeight="251657728" behindDoc="1" locked="0" layoutInCell="0" allowOverlap="1">
            <wp:simplePos x="0" y="0"/>
            <wp:positionH relativeFrom="column">
              <wp:posOffset>4970780</wp:posOffset>
            </wp:positionH>
            <wp:positionV relativeFrom="paragraph">
              <wp:posOffset>-3434080</wp:posOffset>
            </wp:positionV>
            <wp:extent cx="2280920" cy="946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280920" cy="94615"/>
                    </a:xfrm>
                    <a:prstGeom prst="rect">
                      <a:avLst/>
                    </a:prstGeom>
                    <a:noFill/>
                  </pic:spPr>
                </pic:pic>
              </a:graphicData>
            </a:graphic>
          </wp:anchor>
        </w:drawing>
        <w:drawing>
          <wp:anchor simplePos="0" relativeHeight="251657728" behindDoc="1" locked="0" layoutInCell="0" allowOverlap="1">
            <wp:simplePos x="0" y="0"/>
            <wp:positionH relativeFrom="column">
              <wp:posOffset>4970780</wp:posOffset>
            </wp:positionH>
            <wp:positionV relativeFrom="paragraph">
              <wp:posOffset>-3245485</wp:posOffset>
            </wp:positionV>
            <wp:extent cx="2280920" cy="946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280920" cy="94615"/>
                    </a:xfrm>
                    <a:prstGeom prst="rect">
                      <a:avLst/>
                    </a:prstGeom>
                    <a:noFill/>
                  </pic:spPr>
                </pic:pic>
              </a:graphicData>
            </a:graphic>
          </wp:anchor>
        </w:drawing>
        <w:drawing>
          <wp:anchor simplePos="0" relativeHeight="251657728" behindDoc="1" locked="0" layoutInCell="0" allowOverlap="1">
            <wp:simplePos x="0" y="0"/>
            <wp:positionH relativeFrom="column">
              <wp:posOffset>4970780</wp:posOffset>
            </wp:positionH>
            <wp:positionV relativeFrom="paragraph">
              <wp:posOffset>-3013710</wp:posOffset>
            </wp:positionV>
            <wp:extent cx="2280920" cy="946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280920" cy="94615"/>
                    </a:xfrm>
                    <a:prstGeom prst="rect">
                      <a:avLst/>
                    </a:prstGeom>
                    <a:noFill/>
                  </pic:spPr>
                </pic:pic>
              </a:graphicData>
            </a:graphic>
          </wp:anchor>
        </w:drawing>
        <w:drawing>
          <wp:anchor simplePos="0" relativeHeight="251657728" behindDoc="1" locked="0" layoutInCell="0" allowOverlap="1">
            <wp:simplePos x="0" y="0"/>
            <wp:positionH relativeFrom="column">
              <wp:posOffset>4970780</wp:posOffset>
            </wp:positionH>
            <wp:positionV relativeFrom="paragraph">
              <wp:posOffset>-2825115</wp:posOffset>
            </wp:positionV>
            <wp:extent cx="2280920" cy="2914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280920" cy="29146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(1) Figures differ from previously reported, please consider the data presented on this report.</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4"/>
        </w:trPr>
        <w:tc>
          <w:tcPr>
            <w:tcW w:w="3880" w:type="dxa"/>
            <w:vAlign w:val="bottom"/>
            <w:gridSpan w:val="3"/>
          </w:tcPr>
          <w:p>
            <w:pPr>
              <w:spacing w:after="0"/>
              <w:rPr>
                <w:sz w:val="20"/>
                <w:szCs w:val="20"/>
                <w:color w:val="auto"/>
              </w:rPr>
            </w:pPr>
            <w:r>
              <w:rPr>
                <w:rFonts w:ascii="Arial" w:cs="Arial" w:eastAsia="Arial" w:hAnsi="Arial"/>
                <w:sz w:val="18"/>
                <w:szCs w:val="18"/>
                <w:b w:val="1"/>
                <w:bCs w:val="1"/>
                <w:color w:val="auto"/>
              </w:rPr>
              <w:t>11.5. Credicorp Capital</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27"/>
        </w:trPr>
        <w:tc>
          <w:tcPr>
            <w:tcW w:w="3880" w:type="dxa"/>
            <w:vAlign w:val="bottom"/>
            <w:gridSpan w:val="3"/>
          </w:tcPr>
          <w:p>
            <w:pPr>
              <w:spacing w:after="0"/>
              <w:rPr>
                <w:sz w:val="20"/>
                <w:szCs w:val="20"/>
                <w:color w:val="auto"/>
              </w:rPr>
            </w:pPr>
            <w:r>
              <w:rPr>
                <w:rFonts w:ascii="Arial" w:cs="Arial" w:eastAsia="Arial" w:hAnsi="Arial"/>
                <w:sz w:val="18"/>
                <w:szCs w:val="18"/>
                <w:b w:val="1"/>
                <w:bCs w:val="1"/>
                <w:color w:val="auto"/>
              </w:rPr>
              <w:t>Credicorp Capital</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4"/>
          </w:tcPr>
          <w:p>
            <w:pPr>
              <w:ind w:left="100"/>
              <w:spacing w:after="0"/>
              <w:rPr>
                <w:sz w:val="20"/>
                <w:szCs w:val="20"/>
                <w:color w:val="auto"/>
              </w:rPr>
            </w:pPr>
            <w:r>
              <w:rPr>
                <w:rFonts w:ascii="Arial" w:cs="Arial" w:eastAsia="Arial" w:hAnsi="Arial"/>
                <w:sz w:val="18"/>
                <w:szCs w:val="18"/>
                <w:b w:val="1"/>
                <w:bCs w:val="1"/>
                <w:color w:val="auto"/>
              </w:rPr>
              <w:t>Quarter</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4"/>
          </w:tcPr>
          <w:p>
            <w:pPr>
              <w:ind w:left="620"/>
              <w:spacing w:after="0"/>
              <w:rPr>
                <w:sz w:val="20"/>
                <w:szCs w:val="20"/>
                <w:color w:val="auto"/>
              </w:rPr>
            </w:pPr>
            <w:r>
              <w:rPr>
                <w:rFonts w:ascii="Arial" w:cs="Arial" w:eastAsia="Arial" w:hAnsi="Arial"/>
                <w:sz w:val="18"/>
                <w:szCs w:val="18"/>
                <w:b w:val="1"/>
                <w:bCs w:val="1"/>
                <w:color w:val="auto"/>
              </w:rPr>
              <w:t>YTD</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3Q18</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2Q19</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3Q19</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2"/>
              </w:rPr>
              <w:t>Sep 18</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gridSpan w:val="2"/>
          </w:tcPr>
          <w:p>
            <w:pPr>
              <w:spacing w:after="0"/>
              <w:rPr>
                <w:sz w:val="20"/>
                <w:szCs w:val="20"/>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6"/>
              </w:rPr>
              <w:t>Sep 19</w:t>
            </w:r>
          </w:p>
        </w:tc>
        <w:tc>
          <w:tcPr>
            <w:tcW w:w="26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Sep 19 / Sep 18</w:t>
            </w:r>
          </w:p>
        </w:tc>
        <w:tc>
          <w:tcPr>
            <w:tcW w:w="200" w:type="dxa"/>
            <w:vAlign w:val="bottom"/>
            <w:tcBorders>
              <w:bottom w:val="single" w:sz="8" w:color="CCEEFF"/>
            </w:tcBorders>
          </w:tcPr>
          <w:p>
            <w:pPr>
              <w:spacing w:after="0"/>
              <w:rPr>
                <w:sz w:val="20"/>
                <w:szCs w:val="20"/>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-24,568</w:t>
            </w:r>
          </w:p>
        </w:tc>
        <w:tc>
          <w:tcPr>
            <w:tcW w:w="2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Non-financial income</w:t>
            </w:r>
          </w:p>
        </w:tc>
        <w:tc>
          <w:tcPr>
            <w:tcW w:w="720" w:type="dxa"/>
            <w:vAlign w:val="bottom"/>
          </w:tcPr>
          <w:p>
            <w:pPr>
              <w:jc w:val="right"/>
              <w:spacing w:after="0"/>
              <w:rPr>
                <w:sz w:val="20"/>
                <w:szCs w:val="20"/>
                <w:color w:val="auto"/>
              </w:rPr>
            </w:pPr>
            <w:r>
              <w:rPr>
                <w:rFonts w:ascii="Arial" w:cs="Arial" w:eastAsia="Arial" w:hAnsi="Arial"/>
                <w:sz w:val="18"/>
                <w:szCs w:val="18"/>
                <w:color w:val="auto"/>
              </w:rPr>
              <w:t>141,301</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139,041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141,907</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433,200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432,637</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38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Fee income</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95,200</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90,644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96,586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299,443</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281,880</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3880" w:type="dxa"/>
            <w:vAlign w:val="bottom"/>
            <w:gridSpan w:val="3"/>
          </w:tcPr>
          <w:p>
            <w:pPr>
              <w:ind w:left="400"/>
              <w:spacing w:after="0"/>
              <w:rPr>
                <w:sz w:val="20"/>
                <w:szCs w:val="20"/>
                <w:color w:val="auto"/>
              </w:rPr>
            </w:pPr>
            <w:r>
              <w:rPr>
                <w:rFonts w:ascii="Arial" w:cs="Arial" w:eastAsia="Arial" w:hAnsi="Arial"/>
                <w:sz w:val="18"/>
                <w:szCs w:val="18"/>
                <w:color w:val="auto"/>
              </w:rPr>
              <w:t>Net gain on foreign exchange transactions</w:t>
            </w:r>
          </w:p>
        </w:tc>
        <w:tc>
          <w:tcPr>
            <w:tcW w:w="720" w:type="dxa"/>
            <w:vAlign w:val="bottom"/>
          </w:tcPr>
          <w:p>
            <w:pPr>
              <w:jc w:val="right"/>
              <w:spacing w:after="0"/>
              <w:rPr>
                <w:sz w:val="20"/>
                <w:szCs w:val="20"/>
                <w:color w:val="auto"/>
              </w:rPr>
            </w:pPr>
            <w:r>
              <w:rPr>
                <w:rFonts w:ascii="Arial" w:cs="Arial" w:eastAsia="Arial" w:hAnsi="Arial"/>
                <w:sz w:val="18"/>
                <w:szCs w:val="18"/>
                <w:color w:val="auto"/>
              </w:rPr>
              <w:t>8,414</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9,041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11,469</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23,768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30,635</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28.9%</w:t>
            </w:r>
          </w:p>
        </w:tc>
      </w:tr>
      <w:tr>
        <w:trPr>
          <w:trHeight w:val="216"/>
        </w:trPr>
        <w:tc>
          <w:tcPr>
            <w:tcW w:w="38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Net gain on sales of securities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27,379</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47,452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32,455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84,681</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130,392</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54.0%</w:t>
            </w:r>
          </w:p>
        </w:tc>
      </w:tr>
      <w:tr>
        <w:trPr>
          <w:trHeight w:val="216"/>
        </w:trPr>
        <w:tc>
          <w:tcPr>
            <w:tcW w:w="3880" w:type="dxa"/>
            <w:vAlign w:val="bottom"/>
            <w:gridSpan w:val="3"/>
          </w:tcPr>
          <w:p>
            <w:pPr>
              <w:ind w:left="400"/>
              <w:spacing w:after="0"/>
              <w:rPr>
                <w:sz w:val="20"/>
                <w:szCs w:val="20"/>
                <w:color w:val="auto"/>
              </w:rPr>
            </w:pPr>
            <w:r>
              <w:rPr>
                <w:rFonts w:ascii="Arial" w:cs="Arial" w:eastAsia="Arial" w:hAnsi="Arial"/>
                <w:sz w:val="18"/>
                <w:szCs w:val="18"/>
                <w:color w:val="auto"/>
              </w:rPr>
              <w:t>Derivative result</w:t>
            </w:r>
          </w:p>
        </w:tc>
        <w:tc>
          <w:tcPr>
            <w:tcW w:w="720" w:type="dxa"/>
            <w:vAlign w:val="bottom"/>
          </w:tcPr>
          <w:p>
            <w:pPr>
              <w:jc w:val="right"/>
              <w:spacing w:after="0"/>
              <w:rPr>
                <w:sz w:val="20"/>
                <w:szCs w:val="20"/>
                <w:color w:val="auto"/>
              </w:rPr>
            </w:pPr>
            <w:r>
              <w:rPr>
                <w:rFonts w:ascii="Arial" w:cs="Arial" w:eastAsia="Arial" w:hAnsi="Arial"/>
                <w:sz w:val="18"/>
                <w:szCs w:val="18"/>
                <w:color w:val="auto"/>
              </w:rPr>
              <w:t>7,396</w:t>
            </w:r>
          </w:p>
        </w:tc>
        <w:tc>
          <w:tcPr>
            <w:tcW w:w="18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-13,806</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18,819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-29,153</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-254.9%</w:t>
            </w:r>
          </w:p>
        </w:tc>
      </w:tr>
      <w:tr>
        <w:trPr>
          <w:trHeight w:val="216"/>
        </w:trPr>
        <w:tc>
          <w:tcPr>
            <w:tcW w:w="38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Result from exposure to the exchange rate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-5,407</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1,002</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-118.5%</w:t>
            </w:r>
          </w:p>
        </w:tc>
      </w:tr>
      <w:tr>
        <w:trPr>
          <w:trHeight w:val="216"/>
        </w:trPr>
        <w:tc>
          <w:tcPr>
            <w:tcW w:w="3880" w:type="dxa"/>
            <w:vAlign w:val="bottom"/>
            <w:gridSpan w:val="3"/>
          </w:tcPr>
          <w:p>
            <w:pPr>
              <w:ind w:left="400"/>
              <w:spacing w:after="0"/>
              <w:rPr>
                <w:sz w:val="20"/>
                <w:szCs w:val="20"/>
                <w:color w:val="auto"/>
              </w:rPr>
            </w:pPr>
            <w:r>
              <w:rPr>
                <w:rFonts w:ascii="Arial" w:cs="Arial" w:eastAsia="Arial" w:hAnsi="Arial"/>
                <w:sz w:val="18"/>
                <w:szCs w:val="18"/>
                <w:color w:val="auto"/>
              </w:rPr>
              <w:t>Other income</w:t>
            </w:r>
          </w:p>
        </w:tc>
        <w:tc>
          <w:tcPr>
            <w:tcW w:w="720" w:type="dxa"/>
            <w:vAlign w:val="bottom"/>
          </w:tcPr>
          <w:p>
            <w:pPr>
              <w:jc w:val="right"/>
              <w:spacing w:after="0"/>
              <w:rPr>
                <w:sz w:val="20"/>
                <w:szCs w:val="20"/>
                <w:color w:val="auto"/>
              </w:rPr>
            </w:pPr>
            <w:r>
              <w:rPr>
                <w:rFonts w:ascii="Arial" w:cs="Arial" w:eastAsia="Arial" w:hAnsi="Arial"/>
                <w:sz w:val="18"/>
                <w:szCs w:val="18"/>
                <w:color w:val="auto"/>
              </w:rPr>
              <w:t>1,804</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6,785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11,896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17,881</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50.3%</w:t>
            </w:r>
          </w:p>
        </w:tc>
      </w:tr>
      <w:tr>
        <w:trPr>
          <w:trHeight w:val="270"/>
        </w:trPr>
        <w:tc>
          <w:tcPr>
            <w:tcW w:w="3880" w:type="dxa"/>
            <w:vAlign w:val="bottom"/>
            <w:gridSpan w:val="3"/>
            <w:shd w:val="clear" w:color="auto" w:fill="CCEEFF"/>
          </w:tcPr>
          <w:p>
            <w:pPr>
              <w:ind w:left="400"/>
              <w:spacing w:after="0" w:line="269" w:lineRule="exact"/>
              <w:rPr>
                <w:sz w:val="20"/>
                <w:szCs w:val="20"/>
                <w:color w:val="auto"/>
              </w:rPr>
            </w:pPr>
            <w:r>
              <w:rPr>
                <w:rFonts w:ascii="Arial" w:cs="Arial" w:eastAsia="Arial" w:hAnsi="Arial"/>
                <w:sz w:val="18"/>
                <w:szCs w:val="18"/>
                <w:color w:val="auto"/>
              </w:rPr>
              <w:t xml:space="preserve">Operating expenses </w:t>
            </w:r>
            <w:r>
              <w:rPr>
                <w:rFonts w:ascii="Arial" w:cs="Arial" w:eastAsia="Arial" w:hAnsi="Arial"/>
                <w:sz w:val="30"/>
                <w:szCs w:val="30"/>
                <w:color w:val="auto"/>
                <w:vertAlign w:val="superscript"/>
              </w:rPr>
              <w:t>(1)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-102,396</w:t>
            </w:r>
          </w:p>
        </w:tc>
        <w:tc>
          <w:tcPr>
            <w:tcW w:w="180" w:type="dxa"/>
            <w:vAlign w:val="bottom"/>
            <w:shd w:val="clear" w:color="auto" w:fill="CCEEFF"/>
          </w:tcPr>
          <w:p>
            <w:pPr>
              <w:spacing w:after="0"/>
              <w:rPr>
                <w:sz w:val="23"/>
                <w:szCs w:val="23"/>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-118,246</w:t>
            </w: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-114,119</w:t>
            </w: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-328,035</w:t>
            </w: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-354,642</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10"/>
        </w:trPr>
        <w:tc>
          <w:tcPr>
            <w:tcW w:w="38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b w:val="1"/>
                <w:bCs w:val="1"/>
                <w:color w:val="auto"/>
              </w:rPr>
              <w:t>Operating income</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26,716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14,589</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18,517</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71,999</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53,427</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-25.8</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10"/>
        </w:trPr>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w:t>
            </w:r>
          </w:p>
        </w:tc>
      </w:tr>
      <w:tr>
        <w:trPr>
          <w:trHeight w:val="230"/>
        </w:trPr>
        <w:tc>
          <w:tcPr>
            <w:tcW w:w="3880" w:type="dxa"/>
            <w:vAlign w:val="bottom"/>
            <w:gridSpan w:val="3"/>
          </w:tcPr>
          <w:p>
            <w:pPr>
              <w:spacing w:after="0"/>
              <w:rPr>
                <w:sz w:val="20"/>
                <w:szCs w:val="20"/>
                <w:color w:val="auto"/>
              </w:rPr>
            </w:pPr>
            <w:r>
              <w:rPr>
                <w:rFonts w:ascii="Arial" w:cs="Arial" w:eastAsia="Arial" w:hAnsi="Arial"/>
                <w:sz w:val="18"/>
                <w:szCs w:val="18"/>
                <w:color w:val="auto"/>
              </w:rPr>
              <w:t>Non-controlling interest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-180</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-472</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-25.2%</w:t>
            </w:r>
          </w:p>
        </w:tc>
      </w:tr>
      <w:tr>
        <w:trPr>
          <w:trHeight w:val="210"/>
        </w:trPr>
        <w:tc>
          <w:tcPr>
            <w:tcW w:w="38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17,770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10,823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13,010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49,973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39,252</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-21.5</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Unaudited results.</w:t>
      </w:r>
    </w:p>
    <w:p>
      <w:pPr>
        <w:spacing w:after="0" w:line="23" w:lineRule="exact"/>
        <w:rPr>
          <w:sz w:val="20"/>
          <w:szCs w:val="20"/>
          <w:color w:val="auto"/>
        </w:rPr>
      </w:pPr>
    </w:p>
    <w:p>
      <w:pPr>
        <w:ind w:firstLine="8"/>
        <w:spacing w:after="0" w:line="261" w:lineRule="auto"/>
        <w:tabs>
          <w:tab w:leader="none" w:pos="269"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Includes: Salaries and employee’s benefits + Administrative expenses + Assigned expenses + Depreciation and amortization + Tax and contributions + Other expenses</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4"/>
        </w:trPr>
        <w:tc>
          <w:tcPr>
            <w:tcW w:w="3340" w:type="dxa"/>
            <w:vAlign w:val="bottom"/>
            <w:gridSpan w:val="3"/>
          </w:tcPr>
          <w:p>
            <w:pPr>
              <w:spacing w:after="0"/>
              <w:rPr>
                <w:sz w:val="20"/>
                <w:szCs w:val="20"/>
                <w:color w:val="auto"/>
              </w:rPr>
            </w:pPr>
            <w:r>
              <w:rPr>
                <w:rFonts w:ascii="Arial" w:cs="Arial" w:eastAsia="Arial" w:hAnsi="Arial"/>
                <w:sz w:val="18"/>
                <w:szCs w:val="18"/>
                <w:b w:val="1"/>
                <w:bCs w:val="1"/>
                <w:color w:val="auto"/>
              </w:rPr>
              <w:t>11.6. Atlantic Security Bank</w:t>
            </w: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7"/>
        </w:trPr>
        <w:tc>
          <w:tcPr>
            <w:tcW w:w="3340" w:type="dxa"/>
            <w:vAlign w:val="bottom"/>
            <w:gridSpan w:val="3"/>
          </w:tcPr>
          <w:p>
            <w:pPr>
              <w:spacing w:after="0"/>
              <w:rPr>
                <w:sz w:val="20"/>
                <w:szCs w:val="20"/>
                <w:color w:val="auto"/>
              </w:rPr>
            </w:pPr>
            <w:r>
              <w:rPr>
                <w:rFonts w:ascii="Arial" w:cs="Arial" w:eastAsia="Arial" w:hAnsi="Arial"/>
                <w:sz w:val="18"/>
                <w:szCs w:val="18"/>
                <w:b w:val="1"/>
                <w:bCs w:val="1"/>
                <w:color w:val="auto"/>
              </w:rPr>
              <w:t>ASB</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8"/>
              </w:rPr>
              <w:t>Quarter</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gridSpan w:val="4"/>
          </w:tcPr>
          <w:p>
            <w:pPr>
              <w:ind w:left="660"/>
              <w:spacing w:after="0"/>
              <w:rPr>
                <w:sz w:val="20"/>
                <w:szCs w:val="20"/>
                <w:color w:val="auto"/>
              </w:rPr>
            </w:pPr>
            <w:r>
              <w:rPr>
                <w:rFonts w:ascii="Arial" w:cs="Arial" w:eastAsia="Arial" w:hAnsi="Arial"/>
                <w:sz w:val="18"/>
                <w:szCs w:val="18"/>
                <w:b w:val="1"/>
                <w:bCs w:val="1"/>
                <w:color w:val="auto"/>
                <w:w w:val="95"/>
              </w:rPr>
              <w:t>% change</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Millions</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3Q18</w:t>
            </w: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2Q19</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3Q19</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QoQ</w:t>
            </w:r>
          </w:p>
        </w:tc>
        <w:tc>
          <w:tcPr>
            <w:tcW w:w="2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gridSpan w:val="2"/>
          </w:tcPr>
          <w:p>
            <w:pPr>
              <w:spacing w:after="0"/>
              <w:rPr>
                <w:sz w:val="20"/>
                <w:szCs w:val="20"/>
                <w:color w:val="auto"/>
              </w:rPr>
            </w:pP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6"/>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 loans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rPr>
              <w:t>Total investments</w:t>
            </w:r>
          </w:p>
        </w:tc>
        <w:tc>
          <w:tcPr>
            <w:tcW w:w="900" w:type="dxa"/>
            <w:vAlign w:val="bottom"/>
          </w:tcPr>
          <w:p>
            <w:pPr>
              <w:jc w:val="right"/>
              <w:spacing w:after="0"/>
              <w:rPr>
                <w:sz w:val="20"/>
                <w:szCs w:val="20"/>
                <w:color w:val="auto"/>
              </w:rPr>
            </w:pPr>
            <w:r>
              <w:rPr>
                <w:rFonts w:ascii="Arial" w:cs="Arial" w:eastAsia="Arial" w:hAnsi="Arial"/>
                <w:sz w:val="18"/>
                <w:szCs w:val="18"/>
                <w:color w:val="auto"/>
              </w:rPr>
              <w:t>1,018.7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808.4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733.6</w:t>
            </w:r>
          </w:p>
        </w:tc>
        <w:tc>
          <w:tcPr>
            <w:tcW w:w="80" w:type="dxa"/>
            <w:vAlign w:val="bottom"/>
          </w:tcPr>
          <w:p>
            <w:pPr>
              <w:spacing w:after="0"/>
              <w:rPr>
                <w:sz w:val="18"/>
                <w:szCs w:val="18"/>
                <w:color w:val="auto"/>
              </w:rPr>
            </w:pP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-28.0%</w:t>
            </w:r>
          </w:p>
        </w:tc>
      </w:tr>
      <w:tr>
        <w:trPr>
          <w:trHeight w:val="216"/>
        </w:trPr>
        <w:tc>
          <w:tcPr>
            <w:tcW w:w="3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1,991.8</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rPr>
              <w:t>Total deposits</w:t>
            </w:r>
          </w:p>
        </w:tc>
        <w:tc>
          <w:tcPr>
            <w:tcW w:w="900" w:type="dxa"/>
            <w:vAlign w:val="bottom"/>
          </w:tcPr>
          <w:p>
            <w:pPr>
              <w:jc w:val="right"/>
              <w:spacing w:after="0"/>
              <w:rPr>
                <w:sz w:val="20"/>
                <w:szCs w:val="20"/>
                <w:color w:val="auto"/>
              </w:rPr>
            </w:pPr>
            <w:r>
              <w:rPr>
                <w:rFonts w:ascii="Arial" w:cs="Arial" w:eastAsia="Arial" w:hAnsi="Arial"/>
                <w:sz w:val="18"/>
                <w:szCs w:val="18"/>
                <w:color w:val="auto"/>
              </w:rPr>
              <w:t>1,367.3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1,267.4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1,277.5</w:t>
            </w:r>
          </w:p>
        </w:tc>
        <w:tc>
          <w:tcPr>
            <w:tcW w:w="80" w:type="dxa"/>
            <w:vAlign w:val="bottom"/>
          </w:tcPr>
          <w:p>
            <w:pPr>
              <w:spacing w:after="0"/>
              <w:rPr>
                <w:sz w:val="18"/>
                <w:szCs w:val="18"/>
                <w:color w:val="auto"/>
              </w:rPr>
            </w:pP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3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shareholder’s equity</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238.1</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264.5</w:t>
            </w: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10"/>
        </w:trPr>
        <w:tc>
          <w:tcPr>
            <w:tcW w:w="3340" w:type="dxa"/>
            <w:vAlign w:val="bottom"/>
            <w:gridSpan w:val="3"/>
          </w:tcPr>
          <w:p>
            <w:pPr>
              <w:spacing w:after="0"/>
              <w:rPr>
                <w:sz w:val="20"/>
                <w:szCs w:val="20"/>
                <w:color w:val="auto"/>
              </w:rPr>
            </w:pPr>
            <w:r>
              <w:rPr>
                <w:rFonts w:ascii="Arial" w:cs="Arial" w:eastAsia="Arial" w:hAnsi="Arial"/>
                <w:sz w:val="18"/>
                <w:szCs w:val="18"/>
                <w:b w:val="1"/>
                <w:bCs w:val="1"/>
                <w:color w:val="auto"/>
              </w:rPr>
              <w:t>Net income</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426"/>
        </w:trPr>
        <w:tc>
          <w:tcPr>
            <w:tcW w:w="3340" w:type="dxa"/>
            <w:vAlign w:val="bottom"/>
            <w:gridSpan w:val="3"/>
          </w:tcPr>
          <w:p>
            <w:pPr>
              <w:spacing w:after="0"/>
              <w:rPr>
                <w:sz w:val="20"/>
                <w:szCs w:val="20"/>
                <w:color w:val="auto"/>
              </w:rPr>
            </w:pPr>
            <w:r>
              <w:rPr>
                <w:rFonts w:ascii="Arial" w:cs="Arial" w:eastAsia="Arial" w:hAnsi="Arial"/>
                <w:sz w:val="18"/>
                <w:szCs w:val="18"/>
                <w:b w:val="1"/>
                <w:bCs w:val="1"/>
                <w:color w:val="auto"/>
              </w:rPr>
              <w:t>Interest earning assets</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27"/>
        </w:trPr>
        <w:tc>
          <w:tcPr>
            <w:tcW w:w="3340" w:type="dxa"/>
            <w:vAlign w:val="bottom"/>
            <w:gridSpan w:val="3"/>
          </w:tcPr>
          <w:p>
            <w:pPr>
              <w:spacing w:after="0"/>
              <w:rPr>
                <w:sz w:val="20"/>
                <w:szCs w:val="20"/>
                <w:color w:val="auto"/>
              </w:rPr>
            </w:pPr>
            <w:r>
              <w:rPr>
                <w:rFonts w:ascii="Arial" w:cs="Arial" w:eastAsia="Arial" w:hAnsi="Arial"/>
                <w:sz w:val="18"/>
                <w:szCs w:val="18"/>
                <w:b w:val="1"/>
                <w:bCs w:val="1"/>
                <w:color w:val="auto"/>
              </w:rPr>
              <w:t>Interest earning assets*</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8"/>
              </w:rPr>
              <w:t>Quarter</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gridSpan w:val="4"/>
          </w:tcPr>
          <w:p>
            <w:pPr>
              <w:ind w:left="660"/>
              <w:spacing w:after="0"/>
              <w:rPr>
                <w:sz w:val="20"/>
                <w:szCs w:val="20"/>
                <w:color w:val="auto"/>
              </w:rPr>
            </w:pPr>
            <w:r>
              <w:rPr>
                <w:rFonts w:ascii="Arial" w:cs="Arial" w:eastAsia="Arial" w:hAnsi="Arial"/>
                <w:sz w:val="18"/>
                <w:szCs w:val="18"/>
                <w:b w:val="1"/>
                <w:bCs w:val="1"/>
                <w:color w:val="auto"/>
                <w:w w:val="95"/>
              </w:rPr>
              <w:t>% change</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US$ 000</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3Q18</w:t>
            </w: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2Q19</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3Q19</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QoQ</w:t>
            </w:r>
          </w:p>
        </w:tc>
        <w:tc>
          <w:tcPr>
            <w:tcW w:w="2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gridSpan w:val="2"/>
          </w:tcPr>
          <w:p>
            <w:pPr>
              <w:spacing w:after="0"/>
              <w:rPr>
                <w:sz w:val="20"/>
                <w:szCs w:val="20"/>
                <w:color w:val="auto"/>
              </w:rPr>
            </w:pP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6"/>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Due from banks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114.3%</w:t>
            </w: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rPr>
              <w:t>Total loans</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766</w:t>
            </w:r>
          </w:p>
        </w:tc>
        <w:tc>
          <w:tcPr>
            <w:tcW w:w="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736</w:t>
            </w:r>
          </w:p>
        </w:tc>
        <w:tc>
          <w:tcPr>
            <w:tcW w:w="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733</w:t>
            </w:r>
          </w:p>
        </w:tc>
        <w:tc>
          <w:tcPr>
            <w:tcW w:w="80" w:type="dxa"/>
            <w:vAlign w:val="bottom"/>
          </w:tcPr>
          <w:p>
            <w:pPr>
              <w:spacing w:after="0"/>
              <w:rPr>
                <w:sz w:val="18"/>
                <w:szCs w:val="18"/>
                <w:color w:val="auto"/>
              </w:rPr>
            </w:pP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3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Investments</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986</w:t>
            </w: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751</w:t>
            </w: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687</w:t>
            </w: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10"/>
        </w:trPr>
        <w:tc>
          <w:tcPr>
            <w:tcW w:w="3340" w:type="dxa"/>
            <w:vAlign w:val="bottom"/>
            <w:gridSpan w:val="3"/>
          </w:tcPr>
          <w:p>
            <w:pPr>
              <w:spacing w:after="0"/>
              <w:rPr>
                <w:sz w:val="20"/>
                <w:szCs w:val="20"/>
                <w:color w:val="auto"/>
              </w:rPr>
            </w:pPr>
            <w:r>
              <w:rPr>
                <w:rFonts w:ascii="Arial" w:cs="Arial" w:eastAsia="Arial" w:hAnsi="Arial"/>
                <w:sz w:val="18"/>
                <w:szCs w:val="18"/>
                <w:b w:val="1"/>
                <w:bCs w:val="1"/>
                <w:color w:val="auto"/>
              </w:rPr>
              <w:t>Total interest earning assets</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1,826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1,629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1,576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-13.6</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Excludes investments in equities and mutual funds.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gridSpan w:val="3"/>
          </w:tcPr>
          <w:p>
            <w:pPr>
              <w:spacing w:after="0"/>
              <w:rPr>
                <w:sz w:val="20"/>
                <w:szCs w:val="20"/>
                <w:color w:val="auto"/>
              </w:rPr>
            </w:pPr>
            <w:r>
              <w:rPr>
                <w:rFonts w:ascii="Arial" w:cs="Arial" w:eastAsia="Arial" w:hAnsi="Arial"/>
                <w:sz w:val="18"/>
                <w:szCs w:val="18"/>
                <w:b w:val="1"/>
                <w:bCs w:val="1"/>
                <w:color w:val="auto"/>
              </w:rPr>
              <w:t>Liabilities</w:t>
            </w: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7"/>
        </w:trPr>
        <w:tc>
          <w:tcPr>
            <w:tcW w:w="3340" w:type="dxa"/>
            <w:vAlign w:val="bottom"/>
            <w:gridSpan w:val="3"/>
          </w:tcPr>
          <w:p>
            <w:pPr>
              <w:spacing w:after="0"/>
              <w:rPr>
                <w:sz w:val="20"/>
                <w:szCs w:val="20"/>
                <w:color w:val="auto"/>
              </w:rPr>
            </w:pPr>
            <w:r>
              <w:rPr>
                <w:rFonts w:ascii="Arial" w:cs="Arial" w:eastAsia="Arial" w:hAnsi="Arial"/>
                <w:sz w:val="18"/>
                <w:szCs w:val="18"/>
                <w:b w:val="1"/>
                <w:bCs w:val="1"/>
                <w:color w:val="auto"/>
              </w:rPr>
              <w:t>Liabilities</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3"/>
          </w:tcPr>
          <w:p>
            <w:pPr>
              <w:ind w:left="80"/>
              <w:spacing w:after="0"/>
              <w:rPr>
                <w:sz w:val="20"/>
                <w:szCs w:val="20"/>
                <w:color w:val="auto"/>
              </w:rPr>
            </w:pPr>
            <w:r>
              <w:rPr>
                <w:rFonts w:ascii="Arial" w:cs="Arial" w:eastAsia="Arial" w:hAnsi="Arial"/>
                <w:sz w:val="18"/>
                <w:szCs w:val="18"/>
                <w:b w:val="1"/>
                <w:bCs w:val="1"/>
                <w:color w:val="auto"/>
              </w:rPr>
              <w:t>Quarter</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gridSpan w:val="4"/>
          </w:tcPr>
          <w:p>
            <w:pPr>
              <w:ind w:left="660"/>
              <w:spacing w:after="0"/>
              <w:rPr>
                <w:sz w:val="20"/>
                <w:szCs w:val="20"/>
                <w:color w:val="auto"/>
              </w:rPr>
            </w:pPr>
            <w:r>
              <w:rPr>
                <w:rFonts w:ascii="Arial" w:cs="Arial" w:eastAsia="Arial" w:hAnsi="Arial"/>
                <w:sz w:val="18"/>
                <w:szCs w:val="18"/>
                <w:b w:val="1"/>
                <w:bCs w:val="1"/>
                <w:color w:val="auto"/>
                <w:w w:val="95"/>
              </w:rPr>
              <w:t>% change</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US$ 000</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3Q18</w:t>
            </w: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2Q19</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3Q19</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QoQ</w:t>
            </w:r>
          </w:p>
        </w:tc>
        <w:tc>
          <w:tcPr>
            <w:tcW w:w="2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gridSpan w:val="2"/>
          </w:tcPr>
          <w:p>
            <w:pPr>
              <w:spacing w:after="0"/>
              <w:rPr>
                <w:sz w:val="20"/>
                <w:szCs w:val="20"/>
                <w:color w:val="auto"/>
              </w:rPr>
            </w:pP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6"/>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Deposits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3340" w:type="dxa"/>
            <w:vAlign w:val="bottom"/>
            <w:gridSpan w:val="3"/>
          </w:tcPr>
          <w:p>
            <w:pPr>
              <w:ind w:left="40"/>
              <w:spacing w:after="0"/>
              <w:rPr>
                <w:sz w:val="20"/>
                <w:szCs w:val="20"/>
                <w:color w:val="auto"/>
              </w:rPr>
            </w:pPr>
            <w:r>
              <w:rPr>
                <w:rFonts w:ascii="Arial" w:cs="Arial" w:eastAsia="Arial" w:hAnsi="Arial"/>
                <w:sz w:val="18"/>
                <w:szCs w:val="18"/>
                <w:color w:val="auto"/>
              </w:rPr>
              <w:t>Borrowed Funds</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272</w:t>
            </w:r>
          </w:p>
        </w:tc>
        <w:tc>
          <w:tcPr>
            <w:tcW w:w="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228</w:t>
            </w:r>
          </w:p>
        </w:tc>
        <w:tc>
          <w:tcPr>
            <w:tcW w:w="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8"/>
                <w:szCs w:val="18"/>
                <w:color w:val="auto"/>
              </w:rPr>
            </w:pP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-63.6%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-69.5%</w:t>
            </w:r>
          </w:p>
        </w:tc>
      </w:tr>
      <w:tr>
        <w:trPr>
          <w:trHeight w:val="230"/>
        </w:trPr>
        <w:tc>
          <w:tcPr>
            <w:tcW w:w="33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367</w:t>
            </w: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108.0%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739.2%</w:t>
            </w:r>
          </w:p>
        </w:tc>
      </w:tr>
      <w:tr>
        <w:trPr>
          <w:trHeight w:val="210"/>
        </w:trPr>
        <w:tc>
          <w:tcPr>
            <w:tcW w:w="334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 liabilities</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1,683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1,672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1,727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Assets under management and Deposits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142875</wp:posOffset>
            </wp:positionV>
            <wp:extent cx="4716780" cy="31127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716780" cy="311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(1) Figures in 2Q19 differ from previously reported.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distribution as of September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154305</wp:posOffset>
            </wp:positionV>
            <wp:extent cx="4116705" cy="2838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116705" cy="283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11.7. Grupo Pacífico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GRUPO PACIFICO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ind w:left="260"/>
              <w:spacing w:after="0"/>
              <w:rPr>
                <w:sz w:val="20"/>
                <w:szCs w:val="20"/>
                <w:color w:val="auto"/>
              </w:rPr>
            </w:pPr>
            <w:r>
              <w:rPr>
                <w:rFonts w:ascii="Arial" w:cs="Arial" w:eastAsia="Arial" w:hAnsi="Arial"/>
                <w:sz w:val="14"/>
                <w:szCs w:val="14"/>
                <w:b w:val="1"/>
                <w:bCs w:val="1"/>
                <w:color w:val="auto"/>
              </w:rPr>
              <w:t>As of</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4"/>
                <w:szCs w:val="14"/>
                <w:b w:val="1"/>
                <w:bCs w:val="1"/>
                <w:color w:val="auto"/>
                <w:w w:val="94"/>
              </w:rPr>
              <w:t>% change</w:t>
            </w:r>
          </w:p>
        </w:tc>
        <w:tc>
          <w:tcPr>
            <w:tcW w:w="560" w:type="dxa"/>
            <w:vAlign w:val="bottom"/>
          </w:tcPr>
          <w:p>
            <w:pPr>
              <w:spacing w:after="0"/>
              <w:rPr>
                <w:sz w:val="14"/>
                <w:szCs w:val="14"/>
                <w:color w:val="auto"/>
              </w:rPr>
            </w:pPr>
          </w:p>
        </w:tc>
        <w:tc>
          <w:tcPr>
            <w:tcW w:w="3580" w:type="dxa"/>
            <w:vAlign w:val="bottom"/>
          </w:tcPr>
          <w:p>
            <w:pPr>
              <w:spacing w:after="0"/>
              <w:rPr>
                <w:sz w:val="14"/>
                <w:szCs w:val="14"/>
                <w:color w:val="auto"/>
              </w:rPr>
            </w:pPr>
          </w:p>
        </w:tc>
      </w:tr>
      <w:tr>
        <w:trPr>
          <w:trHeight w:val="171"/>
        </w:trPr>
        <w:tc>
          <w:tcPr>
            <w:tcW w:w="28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Sep 18</w:t>
            </w:r>
          </w:p>
        </w:tc>
        <w:tc>
          <w:tcPr>
            <w:tcW w:w="2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Jun 19</w:t>
            </w:r>
          </w:p>
        </w:tc>
        <w:tc>
          <w:tcPr>
            <w:tcW w:w="2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Sep 19</w:t>
            </w:r>
          </w:p>
        </w:tc>
        <w:tc>
          <w:tcPr>
            <w:tcW w:w="2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w w:val="92"/>
              </w:rPr>
              <w:t>QoQ</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YoY</w:t>
            </w:r>
          </w:p>
        </w:tc>
        <w:tc>
          <w:tcPr>
            <w:tcW w:w="3580" w:type="dxa"/>
            <w:vAlign w:val="bottom"/>
            <w:tcBorders>
              <w:bottom w:val="single" w:sz="8" w:color="CCEEFF"/>
            </w:tcBorders>
          </w:tcPr>
          <w:p>
            <w:pPr>
              <w:spacing w:after="0"/>
              <w:rPr>
                <w:sz w:val="14"/>
                <w:szCs w:val="14"/>
                <w:color w:val="auto"/>
              </w:rPr>
            </w:pPr>
          </w:p>
        </w:tc>
      </w:tr>
      <w:tr>
        <w:trPr>
          <w:trHeight w:val="142"/>
        </w:trPr>
        <w:tc>
          <w:tcPr>
            <w:tcW w:w="28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assets</w:t>
            </w: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11,965,692</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13,154,757</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13,640,680</w:t>
            </w: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3.7%</w:t>
            </w:r>
          </w:p>
        </w:tc>
        <w:tc>
          <w:tcPr>
            <w:tcW w:w="220" w:type="dxa"/>
            <w:vAlign w:val="bottom"/>
            <w:shd w:val="clear" w:color="auto" w:fill="CCEEFF"/>
          </w:tcPr>
          <w:p>
            <w:pPr>
              <w:spacing w:after="0"/>
              <w:rPr>
                <w:sz w:val="12"/>
                <w:szCs w:val="12"/>
                <w:color w:val="auto"/>
              </w:rPr>
            </w:pPr>
          </w:p>
        </w:tc>
        <w:tc>
          <w:tcPr>
            <w:tcW w:w="4140" w:type="dxa"/>
            <w:vAlign w:val="bottom"/>
            <w:gridSpan w:val="2"/>
            <w:shd w:val="clear" w:color="auto" w:fill="CCEEFF"/>
          </w:tcPr>
          <w:p>
            <w:pPr>
              <w:jc w:val="right"/>
              <w:ind w:right="3460"/>
              <w:spacing w:after="0" w:line="142" w:lineRule="exact"/>
              <w:rPr>
                <w:sz w:val="20"/>
                <w:szCs w:val="20"/>
                <w:color w:val="auto"/>
              </w:rPr>
            </w:pPr>
            <w:r>
              <w:rPr>
                <w:rFonts w:ascii="Arial" w:cs="Arial" w:eastAsia="Arial" w:hAnsi="Arial"/>
                <w:sz w:val="14"/>
                <w:szCs w:val="14"/>
                <w:color w:val="auto"/>
              </w:rPr>
              <w:t>14.0%</w:t>
            </w:r>
          </w:p>
        </w:tc>
      </w:tr>
      <w:tr>
        <w:trPr>
          <w:trHeight w:val="189"/>
        </w:trPr>
        <w:tc>
          <w:tcPr>
            <w:tcW w:w="2880" w:type="dxa"/>
            <w:vAlign w:val="bottom"/>
          </w:tcPr>
          <w:p>
            <w:pPr>
              <w:spacing w:after="0" w:line="189" w:lineRule="exact"/>
              <w:rPr>
                <w:sz w:val="20"/>
                <w:szCs w:val="20"/>
                <w:color w:val="auto"/>
              </w:rPr>
            </w:pPr>
            <w:r>
              <w:rPr>
                <w:rFonts w:ascii="Arial" w:cs="Arial" w:eastAsia="Arial" w:hAnsi="Arial"/>
                <w:sz w:val="13"/>
                <w:szCs w:val="13"/>
                <w:color w:val="auto"/>
              </w:rPr>
              <w:t xml:space="preserve">Invesment on securities </w:t>
            </w:r>
            <w:r>
              <w:rPr>
                <w:rFonts w:ascii="Arial" w:cs="Arial" w:eastAsia="Arial" w:hAnsi="Arial"/>
                <w:sz w:val="21"/>
                <w:szCs w:val="21"/>
                <w:color w:val="auto"/>
                <w:vertAlign w:val="superscript"/>
              </w:rPr>
              <w:t>(1)</w:t>
            </w:r>
          </w:p>
        </w:tc>
        <w:tc>
          <w:tcPr>
            <w:tcW w:w="800" w:type="dxa"/>
            <w:vAlign w:val="bottom"/>
          </w:tcPr>
          <w:p>
            <w:pPr>
              <w:jc w:val="right"/>
              <w:spacing w:after="0"/>
              <w:rPr>
                <w:sz w:val="20"/>
                <w:szCs w:val="20"/>
                <w:color w:val="auto"/>
              </w:rPr>
            </w:pPr>
            <w:r>
              <w:rPr>
                <w:rFonts w:ascii="Arial" w:cs="Arial" w:eastAsia="Arial" w:hAnsi="Arial"/>
                <w:sz w:val="14"/>
                <w:szCs w:val="14"/>
                <w:color w:val="auto"/>
              </w:rPr>
              <w:t>8,846,602</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9,642,535</w:t>
            </w:r>
          </w:p>
        </w:tc>
        <w:tc>
          <w:tcPr>
            <w:tcW w:w="240" w:type="dxa"/>
            <w:vAlign w:val="bottom"/>
          </w:tcPr>
          <w:p>
            <w:pPr>
              <w:spacing w:after="0"/>
              <w:rPr>
                <w:sz w:val="16"/>
                <w:szCs w:val="16"/>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10,331,786</w:t>
            </w:r>
          </w:p>
        </w:tc>
        <w:tc>
          <w:tcPr>
            <w:tcW w:w="540" w:type="dxa"/>
            <w:vAlign w:val="bottom"/>
          </w:tcPr>
          <w:p>
            <w:pPr>
              <w:spacing w:after="0"/>
              <w:rPr>
                <w:sz w:val="16"/>
                <w:szCs w:val="16"/>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7.1%</w:t>
            </w:r>
          </w:p>
        </w:tc>
        <w:tc>
          <w:tcPr>
            <w:tcW w:w="220" w:type="dxa"/>
            <w:vAlign w:val="bottom"/>
          </w:tcPr>
          <w:p>
            <w:pPr>
              <w:spacing w:after="0"/>
              <w:rPr>
                <w:sz w:val="16"/>
                <w:szCs w:val="16"/>
                <w:color w:val="auto"/>
              </w:rPr>
            </w:pPr>
          </w:p>
        </w:tc>
        <w:tc>
          <w:tcPr>
            <w:tcW w:w="4140" w:type="dxa"/>
            <w:vAlign w:val="bottom"/>
            <w:gridSpan w:val="2"/>
          </w:tcPr>
          <w:p>
            <w:pPr>
              <w:jc w:val="right"/>
              <w:ind w:right="3460"/>
              <w:spacing w:after="0"/>
              <w:rPr>
                <w:sz w:val="20"/>
                <w:szCs w:val="20"/>
                <w:color w:val="auto"/>
              </w:rPr>
            </w:pPr>
            <w:r>
              <w:rPr>
                <w:rFonts w:ascii="Arial" w:cs="Arial" w:eastAsia="Arial" w:hAnsi="Arial"/>
                <w:sz w:val="14"/>
                <w:szCs w:val="14"/>
                <w:color w:val="auto"/>
              </w:rPr>
              <w:t>16.8%</w:t>
            </w:r>
          </w:p>
        </w:tc>
      </w:tr>
      <w:tr>
        <w:trPr>
          <w:trHeight w:val="149"/>
        </w:trPr>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Technical reserves</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8,183,706</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8,946,136</w:t>
            </w: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9,151,080</w:t>
            </w:r>
          </w:p>
        </w:tc>
        <w:tc>
          <w:tcPr>
            <w:tcW w:w="5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w:t>
            </w:r>
          </w:p>
        </w:tc>
        <w:tc>
          <w:tcPr>
            <w:tcW w:w="220" w:type="dxa"/>
            <w:vAlign w:val="bottom"/>
            <w:shd w:val="clear" w:color="auto" w:fill="CCEEFF"/>
          </w:tcPr>
          <w:p>
            <w:pPr>
              <w:spacing w:after="0"/>
              <w:rPr>
                <w:sz w:val="12"/>
                <w:szCs w:val="12"/>
                <w:color w:val="auto"/>
              </w:rPr>
            </w:pPr>
          </w:p>
        </w:tc>
        <w:tc>
          <w:tcPr>
            <w:tcW w:w="4140" w:type="dxa"/>
            <w:vAlign w:val="bottom"/>
            <w:gridSpan w:val="2"/>
            <w:shd w:val="clear" w:color="auto" w:fill="CCEEFF"/>
          </w:tcPr>
          <w:p>
            <w:pPr>
              <w:jc w:val="right"/>
              <w:ind w:right="3460"/>
              <w:spacing w:after="0" w:line="149" w:lineRule="exact"/>
              <w:rPr>
                <w:sz w:val="20"/>
                <w:szCs w:val="20"/>
                <w:color w:val="auto"/>
              </w:rPr>
            </w:pPr>
            <w:r>
              <w:rPr>
                <w:rFonts w:ascii="Arial" w:cs="Arial" w:eastAsia="Arial" w:hAnsi="Arial"/>
                <w:sz w:val="14"/>
                <w:szCs w:val="14"/>
                <w:color w:val="auto"/>
              </w:rPr>
              <w:t>11.8%</w:t>
            </w:r>
          </w:p>
        </w:tc>
      </w:tr>
      <w:tr>
        <w:trPr>
          <w:trHeight w:val="182"/>
        </w:trPr>
        <w:tc>
          <w:tcPr>
            <w:tcW w:w="2880" w:type="dxa"/>
            <w:vAlign w:val="bottom"/>
          </w:tcPr>
          <w:p>
            <w:pPr>
              <w:spacing w:after="0"/>
              <w:rPr>
                <w:sz w:val="20"/>
                <w:szCs w:val="20"/>
                <w:color w:val="auto"/>
              </w:rPr>
            </w:pPr>
            <w:r>
              <w:rPr>
                <w:rFonts w:ascii="Arial" w:cs="Arial" w:eastAsia="Arial" w:hAnsi="Arial"/>
                <w:sz w:val="14"/>
                <w:szCs w:val="14"/>
                <w:color w:val="auto"/>
              </w:rPr>
              <w:t>Net equity</w:t>
            </w:r>
          </w:p>
        </w:tc>
        <w:tc>
          <w:tcPr>
            <w:tcW w:w="800" w:type="dxa"/>
            <w:vAlign w:val="bottom"/>
          </w:tcPr>
          <w:p>
            <w:pPr>
              <w:jc w:val="right"/>
              <w:spacing w:after="0"/>
              <w:rPr>
                <w:sz w:val="20"/>
                <w:szCs w:val="20"/>
                <w:color w:val="auto"/>
              </w:rPr>
            </w:pPr>
            <w:r>
              <w:rPr>
                <w:rFonts w:ascii="Arial" w:cs="Arial" w:eastAsia="Arial" w:hAnsi="Arial"/>
                <w:sz w:val="14"/>
                <w:szCs w:val="14"/>
                <w:color w:val="auto"/>
              </w:rPr>
              <w:t>2,596,213</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3,097,078</w:t>
            </w:r>
          </w:p>
        </w:tc>
        <w:tc>
          <w:tcPr>
            <w:tcW w:w="24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3,423,666</w:t>
            </w:r>
          </w:p>
        </w:tc>
        <w:tc>
          <w:tcPr>
            <w:tcW w:w="540" w:type="dxa"/>
            <w:vAlign w:val="bottom"/>
          </w:tcPr>
          <w:p>
            <w:pPr>
              <w:spacing w:after="0"/>
              <w:rPr>
                <w:sz w:val="15"/>
                <w:szCs w:val="15"/>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10.5%</w:t>
            </w:r>
          </w:p>
        </w:tc>
        <w:tc>
          <w:tcPr>
            <w:tcW w:w="220" w:type="dxa"/>
            <w:vAlign w:val="bottom"/>
          </w:tcPr>
          <w:p>
            <w:pPr>
              <w:spacing w:after="0"/>
              <w:rPr>
                <w:sz w:val="15"/>
                <w:szCs w:val="15"/>
                <w:color w:val="auto"/>
              </w:rPr>
            </w:pPr>
          </w:p>
        </w:tc>
        <w:tc>
          <w:tcPr>
            <w:tcW w:w="4140" w:type="dxa"/>
            <w:vAlign w:val="bottom"/>
            <w:gridSpan w:val="2"/>
          </w:tcPr>
          <w:p>
            <w:pPr>
              <w:jc w:val="right"/>
              <w:ind w:right="3460"/>
              <w:spacing w:after="0"/>
              <w:rPr>
                <w:sz w:val="20"/>
                <w:szCs w:val="20"/>
                <w:color w:val="auto"/>
              </w:rPr>
            </w:pPr>
            <w:r>
              <w:rPr>
                <w:rFonts w:ascii="Arial" w:cs="Arial" w:eastAsia="Arial" w:hAnsi="Arial"/>
                <w:sz w:val="14"/>
                <w:szCs w:val="14"/>
                <w:color w:val="auto"/>
              </w:rPr>
              <w:t>31.9%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-629920</wp:posOffset>
            </wp:positionV>
            <wp:extent cx="2195195" cy="3003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195195" cy="3003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-209550</wp:posOffset>
            </wp:positionV>
            <wp:extent cx="2195195" cy="946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195195" cy="94615"/>
                    </a:xfrm>
                    <a:prstGeom prst="rect">
                      <a:avLst/>
                    </a:prstGeom>
                    <a:noFill/>
                  </pic:spPr>
                </pic:pic>
              </a:graphicData>
            </a:graphic>
          </wp:anchor>
        </w:drawing>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Quarter</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3"/>
          </w:tcPr>
          <w:p>
            <w:pPr>
              <w:ind w:left="600"/>
              <w:spacing w:after="0"/>
              <w:rPr>
                <w:sz w:val="20"/>
                <w:szCs w:val="20"/>
                <w:color w:val="auto"/>
              </w:rPr>
            </w:pPr>
            <w:r>
              <w:rPr>
                <w:rFonts w:ascii="Arial" w:cs="Arial" w:eastAsia="Arial" w:hAnsi="Arial"/>
                <w:sz w:val="14"/>
                <w:szCs w:val="14"/>
                <w:b w:val="1"/>
                <w:bCs w:val="1"/>
                <w:color w:val="auto"/>
              </w:rPr>
              <w:t>% change</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3"/>
          </w:tcPr>
          <w:p>
            <w:pPr>
              <w:ind w:left="740"/>
              <w:spacing w:after="0"/>
              <w:rPr>
                <w:sz w:val="20"/>
                <w:szCs w:val="20"/>
                <w:color w:val="auto"/>
              </w:rPr>
            </w:pPr>
            <w:r>
              <w:rPr>
                <w:rFonts w:ascii="Arial" w:cs="Arial" w:eastAsia="Arial" w:hAnsi="Arial"/>
                <w:sz w:val="14"/>
                <w:szCs w:val="14"/>
                <w:b w:val="1"/>
                <w:bCs w:val="1"/>
                <w:color w:val="auto"/>
              </w:rPr>
              <w:t>YTD</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3Q18</w:t>
            </w:r>
          </w:p>
        </w:tc>
        <w:tc>
          <w:tcPr>
            <w:tcW w:w="2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2Q19</w:t>
            </w:r>
          </w:p>
        </w:tc>
        <w:tc>
          <w:tcPr>
            <w:tcW w:w="2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3Q19</w:t>
            </w:r>
          </w:p>
        </w:tc>
        <w:tc>
          <w:tcPr>
            <w:tcW w:w="2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YoY</w:t>
            </w:r>
          </w:p>
        </w:tc>
        <w:tc>
          <w:tcPr>
            <w:tcW w:w="2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Sep 18</w:t>
            </w: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Sep 19</w:t>
            </w:r>
          </w:p>
        </w:tc>
        <w:tc>
          <w:tcPr>
            <w:tcW w:w="22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Sep 19 / Sep 18</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earned premiums</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538,742</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592,546</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615,145</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3.8%</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14.2%</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1,563,448</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1,796,633</w:t>
            </w:r>
          </w:p>
        </w:tc>
        <w:tc>
          <w:tcPr>
            <w:tcW w:w="2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Net claims</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318,645</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379,718</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392,520</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3.4%</w:t>
            </w:r>
          </w:p>
        </w:tc>
        <w:tc>
          <w:tcPr>
            <w:tcW w:w="2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23.2%</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914,235</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1,158,759</w:t>
            </w:r>
          </w:p>
        </w:tc>
        <w:tc>
          <w:tcPr>
            <w:tcW w:w="14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fees</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141,979</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138,357</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147,821</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6.8%</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4.1%</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424,756</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420,685</w:t>
            </w:r>
          </w:p>
        </w:tc>
        <w:tc>
          <w:tcPr>
            <w:tcW w:w="14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Net underwriting expenses</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28,767</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33,761</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30,293</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-10.3%</w:t>
            </w:r>
          </w:p>
        </w:tc>
        <w:tc>
          <w:tcPr>
            <w:tcW w:w="2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5.3%</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95,244</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101,065</w:t>
            </w:r>
          </w:p>
        </w:tc>
        <w:tc>
          <w:tcPr>
            <w:tcW w:w="14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Underwriting result</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49,351</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40,710</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44,512</w:t>
            </w: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9.3%</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-9.8%</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129,213</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116,123</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financial income</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142,449</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150,249</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126,226</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-16.0%</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-11.4%</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382,118</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419,831</w:t>
            </w:r>
          </w:p>
        </w:tc>
        <w:tc>
          <w:tcPr>
            <w:tcW w:w="14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expenses</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93,601</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107,614</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104,421</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11.6%</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302,129</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319,486</w:t>
            </w:r>
          </w:p>
        </w:tc>
        <w:tc>
          <w:tcPr>
            <w:tcW w:w="14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-6,779</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8,772</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14,208</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62.0%</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-309.6%</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14,086</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30,079</w:t>
            </w:r>
          </w:p>
        </w:tc>
        <w:tc>
          <w:tcPr>
            <w:tcW w:w="14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Traslations results</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1,547</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-478</w:t>
            </w:r>
          </w:p>
        </w:tc>
        <w:tc>
          <w:tcPr>
            <w:tcW w:w="24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1,621</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-439.4%</w:t>
            </w:r>
          </w:p>
        </w:tc>
        <w:tc>
          <w:tcPr>
            <w:tcW w:w="2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4.8%</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3,949</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643</w:t>
            </w:r>
          </w:p>
        </w:tc>
        <w:tc>
          <w:tcPr>
            <w:tcW w:w="14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-83.7%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gain on associates - EPS business and</w:t>
            </w: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medical services</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10,686</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12,758</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14,702</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15.2%</w:t>
            </w:r>
          </w:p>
        </w:tc>
        <w:tc>
          <w:tcPr>
            <w:tcW w:w="2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37.6%</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22,867</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23,548</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Medical Assistance insurance deduction</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5,711</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4,746</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5,348</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12.7%</w:t>
            </w:r>
          </w:p>
        </w:tc>
        <w:tc>
          <w:tcPr>
            <w:tcW w:w="2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-6.4%</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14,355</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12,830</w:t>
            </w:r>
          </w:p>
        </w:tc>
        <w:tc>
          <w:tcPr>
            <w:tcW w:w="14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-487</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1,359</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1,491</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9.8%</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-406.2%</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3,567</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4,367</w:t>
            </w:r>
          </w:p>
        </w:tc>
        <w:tc>
          <w:tcPr>
            <w:tcW w:w="14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Income before minority interest</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98,429</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98,293</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90,008</w:t>
            </w: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-8.4%</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-8.6%</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246,537</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266,371</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Non-controlling interest</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2,590</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2,454</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2,525</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w:t>
            </w:r>
          </w:p>
        </w:tc>
        <w:tc>
          <w:tcPr>
            <w:tcW w:w="2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6,964</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7,571</w:t>
            </w:r>
          </w:p>
        </w:tc>
        <w:tc>
          <w:tcPr>
            <w:tcW w:w="14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95,839</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95,839</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87,482</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-8.7%</w:t>
            </w:r>
          </w:p>
        </w:tc>
        <w:tc>
          <w:tcPr>
            <w:tcW w:w="2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-8.7%</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239,573</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258,800</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8.0%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b w:val="1"/>
                <w:bCs w:val="1"/>
                <w:color w:val="auto"/>
              </w:rPr>
              <w:t>Ratios</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Ceded</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16.3%</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18.5%</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14.4%</w:t>
            </w:r>
          </w:p>
        </w:tc>
        <w:tc>
          <w:tcPr>
            <w:tcW w:w="128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-410 bps</w:t>
            </w: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5"/>
              </w:rPr>
              <w:t>-190 bps</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14.7%</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15.1%</w:t>
            </w:r>
          </w:p>
        </w:tc>
        <w:tc>
          <w:tcPr>
            <w:tcW w:w="14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40 bps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6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Loss ratio </w:t>
            </w:r>
            <w:r>
              <w:rPr>
                <w:rFonts w:ascii="Arial" w:cs="Arial" w:eastAsia="Arial" w:hAnsi="Arial"/>
                <w:sz w:val="21"/>
                <w:szCs w:val="21"/>
                <w:color w:val="auto"/>
                <w:vertAlign w:val="superscript"/>
              </w:rPr>
              <w:t>(2)</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59.1%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64.1%</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63.8%</w:t>
            </w:r>
          </w:p>
        </w:tc>
        <w:tc>
          <w:tcPr>
            <w:tcW w:w="1280" w:type="dxa"/>
            <w:vAlign w:val="bottom"/>
            <w:gridSpan w:val="3"/>
            <w:shd w:val="clear" w:color="auto" w:fill="CCEEFF"/>
          </w:tcPr>
          <w:p>
            <w:pPr>
              <w:jc w:val="right"/>
              <w:ind w:right="500"/>
              <w:spacing w:after="0"/>
              <w:rPr>
                <w:sz w:val="20"/>
                <w:szCs w:val="20"/>
                <w:color w:val="auto"/>
              </w:rPr>
            </w:pPr>
            <w:r>
              <w:rPr>
                <w:rFonts w:ascii="Arial" w:cs="Arial" w:eastAsia="Arial" w:hAnsi="Arial"/>
                <w:sz w:val="14"/>
                <w:szCs w:val="14"/>
                <w:color w:val="auto"/>
              </w:rPr>
              <w:t>-30 bps</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470 bps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58.5%</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64.5%</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600 bps</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60" w:type="dxa"/>
            <w:vAlign w:val="bottom"/>
          </w:tcPr>
          <w:p>
            <w:pPr>
              <w:spacing w:after="0" w:line="130" w:lineRule="exact"/>
              <w:rPr>
                <w:sz w:val="20"/>
                <w:szCs w:val="20"/>
                <w:color w:val="auto"/>
              </w:rPr>
            </w:pPr>
            <w:r>
              <w:rPr>
                <w:rFonts w:ascii="Arial" w:cs="Arial" w:eastAsia="Arial" w:hAnsi="Arial"/>
                <w:sz w:val="14"/>
                <w:szCs w:val="14"/>
                <w:color w:val="auto"/>
                <w:w w:val="96"/>
              </w:rPr>
              <w:t>Fees + underwriting expenses, net / net earned</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tcPr>
          <w:p>
            <w:pPr>
              <w:ind w:left="160"/>
              <w:spacing w:after="0"/>
              <w:rPr>
                <w:sz w:val="20"/>
                <w:szCs w:val="20"/>
                <w:color w:val="auto"/>
              </w:rPr>
            </w:pPr>
            <w:r>
              <w:rPr>
                <w:rFonts w:ascii="Arial" w:cs="Arial" w:eastAsia="Arial" w:hAnsi="Arial"/>
                <w:sz w:val="14"/>
                <w:szCs w:val="14"/>
                <w:color w:val="auto"/>
              </w:rPr>
              <w:t>premiums</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31.7%</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29.0%</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29.0%</w:t>
            </w:r>
          </w:p>
        </w:tc>
        <w:tc>
          <w:tcPr>
            <w:tcW w:w="1280" w:type="dxa"/>
            <w:vAlign w:val="bottom"/>
            <w:gridSpan w:val="3"/>
          </w:tcPr>
          <w:p>
            <w:pPr>
              <w:jc w:val="right"/>
              <w:ind w:right="500"/>
              <w:spacing w:after="0"/>
              <w:rPr>
                <w:sz w:val="20"/>
                <w:szCs w:val="20"/>
                <w:color w:val="auto"/>
              </w:rPr>
            </w:pPr>
            <w:r>
              <w:rPr>
                <w:rFonts w:ascii="Arial" w:cs="Arial" w:eastAsia="Arial" w:hAnsi="Arial"/>
                <w:sz w:val="14"/>
                <w:szCs w:val="14"/>
                <w:color w:val="auto"/>
              </w:rPr>
              <w:t>0 bps</w:t>
            </w: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w w:val="95"/>
              </w:rPr>
              <w:t>-270 bps</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33.3%</w:t>
            </w: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29.0%</w:t>
            </w: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-430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Underwriting results / net earned premiums</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9.2%</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6.9%</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7.2%</w:t>
            </w:r>
          </w:p>
        </w:tc>
        <w:tc>
          <w:tcPr>
            <w:tcW w:w="128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30 bps</w:t>
            </w: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5"/>
              </w:rPr>
              <w:t>-200 bps</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8.3%</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6.5%</w:t>
            </w:r>
          </w:p>
        </w:tc>
        <w:tc>
          <w:tcPr>
            <w:tcW w:w="14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Operating expenses / net earned premiums</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17.4%</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18.2%</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17.0%</w:t>
            </w:r>
          </w:p>
        </w:tc>
        <w:tc>
          <w:tcPr>
            <w:tcW w:w="128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-120 bps</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-40 bps</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19.3%</w:t>
            </w: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17.8%</w:t>
            </w: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-150 bps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60" w:type="dxa"/>
            <w:vAlign w:val="bottom"/>
            <w:shd w:val="clear" w:color="auto" w:fill="CCEEFF"/>
          </w:tcPr>
          <w:p>
            <w:pPr>
              <w:spacing w:after="0" w:line="189" w:lineRule="exact"/>
              <w:rPr>
                <w:sz w:val="20"/>
                <w:szCs w:val="20"/>
                <w:color w:val="auto"/>
              </w:rPr>
            </w:pPr>
            <w:r>
              <w:rPr>
                <w:rFonts w:ascii="Arial" w:cs="Arial" w:eastAsia="Arial" w:hAnsi="Arial"/>
                <w:sz w:val="21"/>
                <w:szCs w:val="21"/>
                <w:color w:val="auto"/>
                <w:vertAlign w:val="subscript"/>
              </w:rPr>
              <w:t>ROAE</w:t>
            </w:r>
            <w:r>
              <w:rPr>
                <w:rFonts w:ascii="Arial" w:cs="Arial" w:eastAsia="Arial" w:hAnsi="Arial"/>
                <w:sz w:val="10"/>
                <w:szCs w:val="10"/>
                <w:color w:val="auto"/>
              </w:rPr>
              <w:t xml:space="preserve"> (3)(4)</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15.5%</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13.7%</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11.0%</w:t>
            </w:r>
          </w:p>
        </w:tc>
        <w:tc>
          <w:tcPr>
            <w:tcW w:w="1280" w:type="dxa"/>
            <w:vAlign w:val="bottom"/>
            <w:gridSpan w:val="3"/>
            <w:shd w:val="clear" w:color="auto" w:fill="CCEEFF"/>
          </w:tcPr>
          <w:p>
            <w:pPr>
              <w:jc w:val="right"/>
              <w:ind w:right="500"/>
              <w:spacing w:after="0"/>
              <w:rPr>
                <w:sz w:val="20"/>
                <w:szCs w:val="20"/>
                <w:color w:val="auto"/>
              </w:rPr>
            </w:pPr>
            <w:r>
              <w:rPr>
                <w:rFonts w:ascii="Arial" w:cs="Arial" w:eastAsia="Arial" w:hAnsi="Arial"/>
                <w:sz w:val="14"/>
                <w:szCs w:val="14"/>
                <w:color w:val="auto"/>
              </w:rPr>
              <w:t>-270 bps</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5"/>
              </w:rPr>
              <w:t>-450 bps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12.1%</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11.8%</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Return on written premiums</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11.0%</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10.2%</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10.1%</w:t>
            </w:r>
          </w:p>
        </w:tc>
        <w:tc>
          <w:tcPr>
            <w:tcW w:w="128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-10 bps</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-90 bps</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9.6%</w:t>
            </w: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9.6%</w:t>
            </w: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 bps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6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Combined ratio of P&amp;C </w:t>
            </w:r>
            <w:r>
              <w:rPr>
                <w:rFonts w:ascii="Arial" w:cs="Arial" w:eastAsia="Arial" w:hAnsi="Arial"/>
                <w:sz w:val="21"/>
                <w:szCs w:val="21"/>
                <w:color w:val="auto"/>
                <w:vertAlign w:val="superscript"/>
              </w:rPr>
              <w:t>(5)</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96.5%</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97.5%</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97.9%</w:t>
            </w:r>
          </w:p>
        </w:tc>
        <w:tc>
          <w:tcPr>
            <w:tcW w:w="1280" w:type="dxa"/>
            <w:vAlign w:val="bottom"/>
            <w:gridSpan w:val="3"/>
            <w:shd w:val="clear" w:color="auto" w:fill="CCEEFF"/>
          </w:tcPr>
          <w:p>
            <w:pPr>
              <w:jc w:val="right"/>
              <w:ind w:right="500"/>
              <w:spacing w:after="0"/>
              <w:rPr>
                <w:sz w:val="20"/>
                <w:szCs w:val="20"/>
                <w:color w:val="auto"/>
              </w:rPr>
            </w:pPr>
            <w:r>
              <w:rPr>
                <w:rFonts w:ascii="Arial" w:cs="Arial" w:eastAsia="Arial" w:hAnsi="Arial"/>
                <w:sz w:val="14"/>
                <w:szCs w:val="14"/>
                <w:color w:val="auto"/>
              </w:rPr>
              <w:t>40 bps</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140 bps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100.3%</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99.8%</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-50 bps</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without consolidation adjustments.</w:t>
      </w:r>
    </w:p>
    <w:p>
      <w:pPr>
        <w:spacing w:after="0" w:line="23" w:lineRule="exact"/>
        <w:rPr>
          <w:sz w:val="20"/>
          <w:szCs w:val="20"/>
          <w:color w:val="auto"/>
        </w:rPr>
      </w:pPr>
    </w:p>
    <w:p>
      <w:pPr>
        <w:ind w:left="260" w:hanging="252"/>
        <w:spacing w:after="0"/>
        <w:tabs>
          <w:tab w:leader="none" w:pos="2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Excluding investments in real estate.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Net claims / Net earned premiums.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Includes unrealized gains.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Annualized and average are determined as the average of period beginning and period ending.</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(Net claims / Net earned premiums) + [(Acquisition cost + total expenses) / Net earned premiums].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From 1Q15 and on, Grupo Pacifico’s financial statements reflect the association with Banmedica. This partnership includes:</w:t>
      </w:r>
    </w:p>
    <w:p>
      <w:pPr>
        <w:spacing w:after="0" w:line="225" w:lineRule="exact"/>
        <w:rPr>
          <w:sz w:val="20"/>
          <w:szCs w:val="20"/>
          <w:color w:val="auto"/>
        </w:rPr>
      </w:pPr>
    </w:p>
    <w:p>
      <w:pPr>
        <w:ind w:left="900" w:hanging="509"/>
        <w:spacing w:after="0" w:line="277" w:lineRule="auto"/>
        <w:tabs>
          <w:tab w:leader="none" w:pos="1167"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private health insurance business, which is managed by Grupo Pacifico and incorporated in each line of Grupo Pacifico’s financial statements;</w:t>
      </w:r>
    </w:p>
    <w:p>
      <w:pPr>
        <w:spacing w:after="0" w:line="170" w:lineRule="exact"/>
        <w:rPr>
          <w:rFonts w:ascii="Arial" w:cs="Arial" w:eastAsia="Arial" w:hAnsi="Arial"/>
          <w:sz w:val="18"/>
          <w:szCs w:val="18"/>
          <w:color w:val="auto"/>
        </w:rPr>
      </w:pPr>
    </w:p>
    <w:p>
      <w:pPr>
        <w:ind w:left="920" w:hanging="529"/>
        <w:spacing w:after="0"/>
        <w:tabs>
          <w:tab w:leader="none" w:pos="9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corporate health insurance for payroll employees; and</w:t>
      </w:r>
    </w:p>
    <w:p>
      <w:pPr>
        <w:spacing w:after="0" w:line="225" w:lineRule="exact"/>
        <w:rPr>
          <w:rFonts w:ascii="Arial" w:cs="Arial" w:eastAsia="Arial" w:hAnsi="Arial"/>
          <w:sz w:val="18"/>
          <w:szCs w:val="18"/>
          <w:color w:val="auto"/>
        </w:rPr>
      </w:pPr>
    </w:p>
    <w:p>
      <w:pPr>
        <w:ind w:left="940" w:hanging="549"/>
        <w:spacing w:after="0"/>
        <w:tabs>
          <w:tab w:leader="none" w:pos="9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medical services.</w:t>
      </w:r>
    </w:p>
    <w:p>
      <w:pPr>
        <w:spacing w:after="0" w:line="225" w:lineRule="exact"/>
        <w:rPr>
          <w:sz w:val="20"/>
          <w:szCs w:val="20"/>
          <w:color w:val="auto"/>
        </w:rPr>
      </w:pPr>
    </w:p>
    <w:p>
      <w:pPr>
        <w:ind w:left="60" w:right="20"/>
        <w:spacing w:after="0" w:line="308" w:lineRule="auto"/>
        <w:rPr>
          <w:sz w:val="20"/>
          <w:szCs w:val="20"/>
          <w:color w:val="auto"/>
        </w:rPr>
      </w:pPr>
      <w:r>
        <w:rPr>
          <w:rFonts w:ascii="Arial" w:cs="Arial" w:eastAsia="Arial" w:hAnsi="Arial"/>
          <w:sz w:val="17"/>
          <w:szCs w:val="17"/>
          <w:color w:val="auto"/>
        </w:rPr>
        <w:t>The businesses described in ii) and iii) are managed by Banmedica, therefore they do not consolidate in Grupo Pacifico’s financial statements. The 50% of net income generated by Banmedica is recorded in Grupo Pacifico’s Income Statement as a gain/loss on investments in subsidiaries.</w:t>
      </w:r>
    </w:p>
    <w:p>
      <w:pPr>
        <w:spacing w:after="0" w:line="143" w:lineRule="exact"/>
        <w:rPr>
          <w:sz w:val="20"/>
          <w:szCs w:val="20"/>
          <w:color w:val="auto"/>
        </w:rPr>
      </w:pPr>
    </w:p>
    <w:p>
      <w:pPr>
        <w:ind w:left="60" w:right="20"/>
        <w:spacing w:after="0" w:line="282" w:lineRule="auto"/>
        <w:rPr>
          <w:sz w:val="20"/>
          <w:szCs w:val="20"/>
          <w:color w:val="auto"/>
        </w:rPr>
      </w:pPr>
      <w:r>
        <w:rPr>
          <w:rFonts w:ascii="Arial" w:cs="Arial" w:eastAsia="Arial" w:hAnsi="Arial"/>
          <w:sz w:val="18"/>
          <w:szCs w:val="18"/>
          <w:color w:val="auto"/>
        </w:rPr>
        <w:t xml:space="preserve">As explained before, </w:t>
      </w:r>
      <w:r>
        <w:rPr>
          <w:rFonts w:ascii="Arial" w:cs="Arial" w:eastAsia="Arial" w:hAnsi="Arial"/>
          <w:sz w:val="18"/>
          <w:szCs w:val="18"/>
          <w:b w:val="1"/>
          <w:bCs w:val="1"/>
          <w:color w:val="auto"/>
        </w:rPr>
        <w:t>corporate health insurance</w:t>
      </w:r>
      <w:r>
        <w:rPr>
          <w:rFonts w:ascii="Arial" w:cs="Arial" w:eastAsia="Arial" w:hAnsi="Arial"/>
          <w:sz w:val="18"/>
          <w:szCs w:val="18"/>
          <w:color w:val="auto"/>
        </w:rPr>
        <w:t xml:space="preserve"> and </w:t>
      </w:r>
      <w:r>
        <w:rPr>
          <w:rFonts w:ascii="Arial" w:cs="Arial" w:eastAsia="Arial" w:hAnsi="Arial"/>
          <w:sz w:val="18"/>
          <w:szCs w:val="18"/>
          <w:b w:val="1"/>
          <w:bCs w:val="1"/>
          <w:color w:val="auto"/>
        </w:rPr>
        <w:t>medical services</w:t>
      </w:r>
      <w:r>
        <w:rPr>
          <w:rFonts w:ascii="Arial" w:cs="Arial" w:eastAsia="Arial" w:hAnsi="Arial"/>
          <w:sz w:val="18"/>
          <w:szCs w:val="18"/>
          <w:color w:val="auto"/>
        </w:rPr>
        <w:t xml:space="preserve"> businesses are consolidated by Banmedica. The following table reflects the consolidated results from which Grupo Pacifico receives the 50% net income.</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7" w:name="page68"/>
    <w:bookmarkEnd w:id="67"/>
    <w:p>
      <w:pPr>
        <w:jc w:val="center"/>
        <w:ind w:right="-59"/>
        <w:spacing w:after="0"/>
        <w:rPr>
          <w:sz w:val="20"/>
          <w:szCs w:val="20"/>
          <w:color w:val="auto"/>
        </w:rPr>
      </w:pPr>
      <w:r>
        <w:rPr>
          <w:rFonts w:ascii="Arial" w:cs="Arial" w:eastAsia="Arial" w:hAnsi="Arial"/>
          <w:sz w:val="18"/>
          <w:szCs w:val="18"/>
          <w:b w:val="1"/>
          <w:bCs w:val="1"/>
          <w:color w:val="auto"/>
        </w:rPr>
        <w:t>Corporate Health Insurance and Medical Services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Quarter</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3"/>
          </w:tcPr>
          <w:p>
            <w:pPr>
              <w:ind w:left="720"/>
              <w:spacing w:after="0"/>
              <w:rPr>
                <w:sz w:val="20"/>
                <w:szCs w:val="20"/>
                <w:color w:val="auto"/>
              </w:rPr>
            </w:pPr>
            <w:r>
              <w:rPr>
                <w:rFonts w:ascii="Arial" w:cs="Arial" w:eastAsia="Arial" w:hAnsi="Arial"/>
                <w:sz w:val="14"/>
                <w:szCs w:val="14"/>
                <w:b w:val="1"/>
                <w:bCs w:val="1"/>
                <w:color w:val="auto"/>
              </w:rPr>
              <w:t>% change</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3"/>
          </w:tcPr>
          <w:p>
            <w:pPr>
              <w:ind w:left="820"/>
              <w:spacing w:after="0"/>
              <w:rPr>
                <w:sz w:val="20"/>
                <w:szCs w:val="20"/>
                <w:color w:val="auto"/>
              </w:rPr>
            </w:pPr>
            <w:r>
              <w:rPr>
                <w:rFonts w:ascii="Arial" w:cs="Arial" w:eastAsia="Arial" w:hAnsi="Arial"/>
                <w:sz w:val="14"/>
                <w:szCs w:val="14"/>
                <w:b w:val="1"/>
                <w:bCs w:val="1"/>
                <w:color w:val="auto"/>
              </w:rPr>
              <w:t>YTD</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20" w:type="dxa"/>
            <w:vAlign w:val="bottom"/>
            <w:gridSpan w:val="2"/>
          </w:tcPr>
          <w:p>
            <w:pPr>
              <w:ind w:left="300"/>
              <w:spacing w:after="0"/>
              <w:rPr>
                <w:sz w:val="20"/>
                <w:szCs w:val="20"/>
                <w:color w:val="auto"/>
              </w:rPr>
            </w:pPr>
            <w:r>
              <w:rPr>
                <w:rFonts w:ascii="Arial" w:cs="Arial" w:eastAsia="Arial" w:hAnsi="Arial"/>
                <w:sz w:val="14"/>
                <w:szCs w:val="14"/>
                <w:b w:val="1"/>
                <w:bCs w:val="1"/>
                <w:color w:val="auto"/>
              </w:rPr>
              <w:t>3Q18</w:t>
            </w: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2Q19</w:t>
            </w:r>
          </w:p>
        </w:tc>
        <w:tc>
          <w:tcPr>
            <w:tcW w:w="1120" w:type="dxa"/>
            <w:vAlign w:val="bottom"/>
            <w:gridSpan w:val="2"/>
          </w:tcPr>
          <w:p>
            <w:pPr>
              <w:ind w:left="280"/>
              <w:spacing w:after="0"/>
              <w:rPr>
                <w:sz w:val="20"/>
                <w:szCs w:val="20"/>
                <w:color w:val="auto"/>
              </w:rPr>
            </w:pPr>
            <w:r>
              <w:rPr>
                <w:rFonts w:ascii="Arial" w:cs="Arial" w:eastAsia="Arial" w:hAnsi="Arial"/>
                <w:sz w:val="14"/>
                <w:szCs w:val="14"/>
                <w:b w:val="1"/>
                <w:bCs w:val="1"/>
                <w:color w:val="auto"/>
              </w:rPr>
              <w:t>3Q19</w:t>
            </w:r>
          </w:p>
        </w:tc>
        <w:tc>
          <w:tcPr>
            <w:tcW w:w="1460" w:type="dxa"/>
            <w:vAlign w:val="bottom"/>
            <w:gridSpan w:val="3"/>
          </w:tcPr>
          <w:p>
            <w:pPr>
              <w:ind w:left="300"/>
              <w:spacing w:after="0"/>
              <w:rPr>
                <w:sz w:val="20"/>
                <w:szCs w:val="20"/>
                <w:color w:val="auto"/>
              </w:rPr>
            </w:pPr>
            <w:r>
              <w:rPr>
                <w:rFonts w:ascii="Arial" w:cs="Arial" w:eastAsia="Arial" w:hAnsi="Arial"/>
                <w:sz w:val="14"/>
                <w:szCs w:val="14"/>
                <w:b w:val="1"/>
                <w:bCs w:val="1"/>
                <w:color w:val="auto"/>
              </w:rPr>
              <w:t>QoQ</w:t>
            </w:r>
          </w:p>
        </w:tc>
        <w:tc>
          <w:tcPr>
            <w:tcW w:w="9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YoY</w:t>
            </w:r>
          </w:p>
        </w:tc>
        <w:tc>
          <w:tcPr>
            <w:tcW w:w="1200" w:type="dxa"/>
            <w:vAlign w:val="bottom"/>
            <w:gridSpan w:val="3"/>
          </w:tcPr>
          <w:p>
            <w:pPr>
              <w:ind w:left="260"/>
              <w:spacing w:after="0"/>
              <w:rPr>
                <w:sz w:val="20"/>
                <w:szCs w:val="20"/>
                <w:color w:val="auto"/>
              </w:rPr>
            </w:pPr>
            <w:r>
              <w:rPr>
                <w:rFonts w:ascii="Arial" w:cs="Arial" w:eastAsia="Arial" w:hAnsi="Arial"/>
                <w:sz w:val="14"/>
                <w:szCs w:val="14"/>
                <w:b w:val="1"/>
                <w:bCs w:val="1"/>
                <w:color w:val="auto"/>
              </w:rPr>
              <w:t>Set 18</w:t>
            </w: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Set 19</w:t>
            </w: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Set 19 / Set 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Results</w:t>
            </w: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Net earned premiums</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255,104</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264,725</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275,951</w:t>
            </w:r>
          </w:p>
        </w:tc>
        <w:tc>
          <w:tcPr>
            <w:tcW w:w="12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4.2%</w:t>
            </w:r>
          </w:p>
        </w:tc>
        <w:tc>
          <w:tcPr>
            <w:tcW w:w="20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8.2%</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744,745</w:t>
            </w:r>
          </w:p>
        </w:tc>
        <w:tc>
          <w:tcPr>
            <w:tcW w:w="1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799,131</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claims</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-220,993</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-225,704</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-233,949</w:t>
            </w:r>
          </w:p>
        </w:tc>
        <w:tc>
          <w:tcPr>
            <w:tcW w:w="12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3.7%</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5.9%</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-623,847</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-693,250</w:t>
            </w:r>
          </w:p>
        </w:tc>
        <w:tc>
          <w:tcPr>
            <w:tcW w:w="1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Net fees</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-11,740</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-11,697</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-12,365</w:t>
            </w:r>
          </w:p>
        </w:tc>
        <w:tc>
          <w:tcPr>
            <w:tcW w:w="12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5.7%</w:t>
            </w:r>
          </w:p>
        </w:tc>
        <w:tc>
          <w:tcPr>
            <w:tcW w:w="20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5.3%</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-33,483</w:t>
            </w:r>
          </w:p>
        </w:tc>
        <w:tc>
          <w:tcPr>
            <w:tcW w:w="1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-35,941</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underwriting expenses</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-2,676</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-2,492</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-2,486</w:t>
            </w:r>
          </w:p>
        </w:tc>
        <w:tc>
          <w:tcPr>
            <w:tcW w:w="12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-0.3%</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-7.1%</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-8,951</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-7,890</w:t>
            </w:r>
          </w:p>
        </w:tc>
        <w:tc>
          <w:tcPr>
            <w:tcW w:w="1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b w:val="1"/>
                <w:bCs w:val="1"/>
                <w:color w:val="auto"/>
              </w:rPr>
              <w:t>Underwriting result</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19,695</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24,832</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27,151</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9.3%</w:t>
            </w:r>
          </w:p>
        </w:tc>
        <w:tc>
          <w:tcPr>
            <w:tcW w:w="20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37.9%</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78,464</w:t>
            </w:r>
          </w:p>
        </w:tc>
        <w:tc>
          <w:tcPr>
            <w:tcW w:w="1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62,051</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-20.9%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Net financial income</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1,158</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1,070</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1,612</w:t>
            </w:r>
          </w:p>
        </w:tc>
        <w:tc>
          <w:tcPr>
            <w:tcW w:w="12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50.6%</w:t>
            </w:r>
          </w:p>
        </w:tc>
        <w:tc>
          <w:tcPr>
            <w:tcW w:w="20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39.2%</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3,589</w:t>
            </w:r>
          </w:p>
        </w:tc>
        <w:tc>
          <w:tcPr>
            <w:tcW w:w="1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4,187</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expenses</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-18,211</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-18,203</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-18,352</w:t>
            </w:r>
          </w:p>
        </w:tc>
        <w:tc>
          <w:tcPr>
            <w:tcW w:w="12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0.8%</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0.8%</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-54,698</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-54,091</w:t>
            </w:r>
          </w:p>
        </w:tc>
        <w:tc>
          <w:tcPr>
            <w:tcW w:w="1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Other income</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621</w:t>
            </w:r>
          </w:p>
        </w:tc>
        <w:tc>
          <w:tcPr>
            <w:tcW w:w="12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251</w:t>
            </w:r>
          </w:p>
        </w:tc>
        <w:tc>
          <w:tcPr>
            <w:tcW w:w="12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-59.5%</w:t>
            </w:r>
          </w:p>
        </w:tc>
        <w:tc>
          <w:tcPr>
            <w:tcW w:w="20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-253.6%</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48</w:t>
            </w:r>
          </w:p>
        </w:tc>
        <w:tc>
          <w:tcPr>
            <w:tcW w:w="1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1,884</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3793.8%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Traslations results</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1,030</w:t>
            </w:r>
          </w:p>
        </w:tc>
        <w:tc>
          <w:tcPr>
            <w:tcW w:w="12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-623.3%</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N/A</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75</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817</w:t>
            </w:r>
          </w:p>
        </w:tc>
        <w:tc>
          <w:tcPr>
            <w:tcW w:w="1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991.8%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Income tax</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-680</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-2,670</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-3,716</w:t>
            </w:r>
          </w:p>
        </w:tc>
        <w:tc>
          <w:tcPr>
            <w:tcW w:w="12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39.2%</w:t>
            </w:r>
          </w:p>
        </w:tc>
        <w:tc>
          <w:tcPr>
            <w:tcW w:w="20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446.6%</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-9,040</w:t>
            </w:r>
          </w:p>
        </w:tc>
        <w:tc>
          <w:tcPr>
            <w:tcW w:w="1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-4,772</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-47.2%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b w:val="1"/>
                <w:bCs w:val="1"/>
                <w:color w:val="auto"/>
              </w:rPr>
              <w:t>Net income before Medical services</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1,842</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5,452</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7,976</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46.3%</w:t>
            </w:r>
          </w:p>
        </w:tc>
        <w:tc>
          <w:tcPr>
            <w:tcW w:w="20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332.9%</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18,438</w:t>
            </w:r>
          </w:p>
        </w:tc>
        <w:tc>
          <w:tcPr>
            <w:tcW w:w="1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10,076</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-45.4%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b w:val="1"/>
                <w:bCs w:val="1"/>
                <w:color w:val="auto"/>
              </w:rPr>
              <w:t>Net income of Medical services</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19,448</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19,983</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21,341</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6.8%</w:t>
            </w:r>
          </w:p>
        </w:tc>
        <w:tc>
          <w:tcPr>
            <w:tcW w:w="20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9.7%</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55,766</w:t>
            </w:r>
          </w:p>
        </w:tc>
        <w:tc>
          <w:tcPr>
            <w:tcW w:w="1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62,432</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12.0%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240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21,290</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25,435</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29,317</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15.3%</w:t>
            </w:r>
          </w:p>
        </w:tc>
        <w:tc>
          <w:tcPr>
            <w:tcW w:w="20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37.7%</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74,204</w:t>
            </w:r>
          </w:p>
        </w:tc>
        <w:tc>
          <w:tcPr>
            <w:tcW w:w="18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72,508</w:t>
            </w: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rPr>
              <w:t>-2.3%</w:t>
            </w:r>
          </w:p>
        </w:tc>
        <w:tc>
          <w:tcPr>
            <w:tcW w:w="0" w:type="dxa"/>
            <w:vAlign w:val="bottom"/>
          </w:tcPr>
          <w:p>
            <w:pPr>
              <w:spacing w:after="0"/>
              <w:rPr>
                <w:sz w:val="1"/>
                <w:szCs w:val="1"/>
                <w:color w:val="auto"/>
              </w:rPr>
            </w:pPr>
          </w:p>
        </w:tc>
      </w:tr>
    </w:tbl>
    <w:p>
      <w:pPr>
        <w:spacing w:after="0" w:line="3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11.8. Prima AFP</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5"/>
          </w:tcPr>
          <w:p>
            <w:pPr>
              <w:ind w:left="20"/>
              <w:spacing w:after="0"/>
              <w:rPr>
                <w:sz w:val="20"/>
                <w:szCs w:val="20"/>
                <w:color w:val="auto"/>
              </w:rPr>
            </w:pPr>
            <w:r>
              <w:rPr>
                <w:rFonts w:ascii="Arial" w:cs="Arial" w:eastAsia="Arial" w:hAnsi="Arial"/>
                <w:sz w:val="14"/>
                <w:szCs w:val="14"/>
                <w:b w:val="1"/>
                <w:bCs w:val="1"/>
                <w:color w:val="auto"/>
              </w:rPr>
              <w:t>Quarter</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gridSpan w:val="6"/>
          </w:tcPr>
          <w:p>
            <w:pPr>
              <w:ind w:left="460"/>
              <w:spacing w:after="0"/>
              <w:rPr>
                <w:sz w:val="20"/>
                <w:szCs w:val="20"/>
                <w:color w:val="auto"/>
              </w:rPr>
            </w:pPr>
            <w:r>
              <w:rPr>
                <w:rFonts w:ascii="Arial" w:cs="Arial" w:eastAsia="Arial" w:hAnsi="Arial"/>
                <w:sz w:val="14"/>
                <w:szCs w:val="14"/>
                <w:b w:val="1"/>
                <w:bCs w:val="1"/>
                <w:color w:val="auto"/>
                <w:w w:val="94"/>
              </w:rPr>
              <w:t>% change</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ind w:left="660"/>
              <w:spacing w:after="0"/>
              <w:rPr>
                <w:sz w:val="20"/>
                <w:szCs w:val="20"/>
                <w:color w:val="auto"/>
              </w:rPr>
            </w:pPr>
            <w:r>
              <w:rPr>
                <w:rFonts w:ascii="Arial" w:cs="Arial" w:eastAsia="Arial" w:hAnsi="Arial"/>
                <w:sz w:val="14"/>
                <w:szCs w:val="14"/>
                <w:b w:val="1"/>
                <w:bCs w:val="1"/>
                <w:color w:val="auto"/>
              </w:rPr>
              <w:t>YTD</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change</w:t>
            </w:r>
          </w:p>
        </w:tc>
      </w:tr>
      <w:tr>
        <w:trPr>
          <w:trHeight w:val="171"/>
        </w:trPr>
        <w:tc>
          <w:tcPr>
            <w:tcW w:w="30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3Q18</w:t>
            </w:r>
          </w:p>
        </w:tc>
        <w:tc>
          <w:tcPr>
            <w:tcW w:w="260" w:type="dxa"/>
            <w:vAlign w:val="bottom"/>
            <w:tcBorders>
              <w:bottom w:val="single" w:sz="8" w:color="CCEEFF"/>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2Q19</w:t>
            </w:r>
          </w:p>
        </w:tc>
        <w:tc>
          <w:tcPr>
            <w:tcW w:w="260" w:type="dxa"/>
            <w:vAlign w:val="bottom"/>
            <w:tcBorders>
              <w:bottom w:val="single" w:sz="8" w:color="CCEEFF"/>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3Q19</w:t>
            </w:r>
          </w:p>
        </w:tc>
        <w:tc>
          <w:tcPr>
            <w:tcW w:w="260" w:type="dxa"/>
            <w:vAlign w:val="bottom"/>
            <w:tcBorders>
              <w:bottom w:val="single" w:sz="8" w:color="CCEEFF"/>
            </w:tcBorders>
            <w:gridSpan w:val="2"/>
          </w:tcPr>
          <w:p>
            <w:pPr>
              <w:spacing w:after="0"/>
              <w:rPr>
                <w:sz w:val="14"/>
                <w:szCs w:val="14"/>
                <w:color w:val="auto"/>
              </w:rPr>
            </w:pPr>
          </w:p>
        </w:tc>
        <w:tc>
          <w:tcPr>
            <w:tcW w:w="120" w:type="dxa"/>
            <w:vAlign w:val="bottom"/>
            <w:tcBorders>
              <w:bottom w:val="single" w:sz="8" w:color="auto"/>
            </w:tcBorders>
            <w:gridSpan w:val="2"/>
          </w:tcPr>
          <w:p>
            <w:pPr>
              <w:spacing w:after="0"/>
              <w:rPr>
                <w:sz w:val="14"/>
                <w:szCs w:val="14"/>
                <w:color w:val="auto"/>
              </w:rPr>
            </w:pPr>
          </w:p>
        </w:tc>
        <w:tc>
          <w:tcPr>
            <w:tcW w:w="6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EEFF"/>
            </w:tcBorders>
            <w:gridSpan w:val="2"/>
          </w:tcPr>
          <w:p>
            <w:pPr>
              <w:spacing w:after="0"/>
              <w:rPr>
                <w:sz w:val="14"/>
                <w:szCs w:val="14"/>
                <w:color w:val="auto"/>
              </w:rPr>
            </w:pPr>
          </w:p>
        </w:tc>
        <w:tc>
          <w:tcPr>
            <w:tcW w:w="200" w:type="dxa"/>
            <w:vAlign w:val="bottom"/>
            <w:tcBorders>
              <w:bottom w:val="single" w:sz="8" w:color="auto"/>
            </w:tcBorders>
            <w:gridSpan w:val="3"/>
          </w:tcPr>
          <w:p>
            <w:pPr>
              <w:spacing w:after="0"/>
              <w:rPr>
                <w:sz w:val="14"/>
                <w:szCs w:val="14"/>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YoY</w:t>
            </w:r>
          </w:p>
        </w:tc>
        <w:tc>
          <w:tcPr>
            <w:tcW w:w="260" w:type="dxa"/>
            <w:vAlign w:val="bottom"/>
            <w:tcBorders>
              <w:bottom w:val="single" w:sz="8" w:color="CCEEFF"/>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Sep 18</w:t>
            </w: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Sep 19</w:t>
            </w: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Sep 19 / Sep 18</w:t>
            </w:r>
          </w:p>
        </w:tc>
        <w:tc>
          <w:tcPr>
            <w:tcW w:w="140" w:type="dxa"/>
            <w:vAlign w:val="bottom"/>
            <w:tcBorders>
              <w:bottom w:val="single" w:sz="8" w:color="CCEEFF"/>
            </w:tcBorders>
          </w:tcPr>
          <w:p>
            <w:pPr>
              <w:spacing w:after="0"/>
              <w:rPr>
                <w:sz w:val="14"/>
                <w:szCs w:val="14"/>
                <w:color w:val="auto"/>
              </w:rPr>
            </w:pPr>
          </w:p>
        </w:tc>
      </w:tr>
      <w:tr>
        <w:trPr>
          <w:trHeight w:val="142"/>
        </w:trPr>
        <w:tc>
          <w:tcPr>
            <w:tcW w:w="30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Income from commissions</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94,417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105,867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97,099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-8.3%</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285,638</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302,723</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6.0%</w:t>
            </w:r>
          </w:p>
        </w:tc>
      </w:tr>
      <w:tr>
        <w:trPr>
          <w:trHeight w:val="149"/>
        </w:trPr>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rPr>
              <w:t>Administrative and sale expenses</w:t>
            </w:r>
          </w:p>
        </w:tc>
        <w:tc>
          <w:tcPr>
            <w:tcW w:w="84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(38,229)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(38,358)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(33,617)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-12.4%</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-12.1%</w:t>
            </w:r>
          </w:p>
        </w:tc>
        <w:tc>
          <w:tcPr>
            <w:tcW w:w="100" w:type="dxa"/>
            <w:vAlign w:val="bottom"/>
          </w:tcPr>
          <w:p>
            <w:pPr>
              <w:spacing w:after="0"/>
              <w:rPr>
                <w:sz w:val="12"/>
                <w:szCs w:val="12"/>
                <w:color w:val="auto"/>
              </w:rPr>
            </w:pPr>
          </w:p>
        </w:tc>
        <w:tc>
          <w:tcPr>
            <w:tcW w:w="9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-117,318</w:t>
            </w:r>
          </w:p>
        </w:tc>
        <w:tc>
          <w:tcPr>
            <w:tcW w:w="100" w:type="dxa"/>
            <w:vAlign w:val="bottom"/>
          </w:tcPr>
          <w:p>
            <w:pPr>
              <w:spacing w:after="0"/>
              <w:rPr>
                <w:sz w:val="12"/>
                <w:szCs w:val="12"/>
                <w:color w:val="auto"/>
              </w:rPr>
            </w:pPr>
          </w:p>
        </w:tc>
        <w:tc>
          <w:tcPr>
            <w:tcW w:w="9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-109,267</w:t>
            </w:r>
          </w:p>
        </w:tc>
        <w:tc>
          <w:tcPr>
            <w:tcW w:w="100" w:type="dxa"/>
            <w:vAlign w:val="bottom"/>
          </w:tcPr>
          <w:p>
            <w:pPr>
              <w:spacing w:after="0"/>
              <w:rPr>
                <w:sz w:val="12"/>
                <w:szCs w:val="12"/>
                <w:color w:val="auto"/>
              </w:rPr>
            </w:pP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-6.9%</w:t>
            </w:r>
          </w:p>
        </w:tc>
      </w:tr>
      <w:tr>
        <w:trPr>
          <w:trHeight w:val="149"/>
        </w:trPr>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840" w:type="dxa"/>
            <w:vAlign w:val="bottom"/>
            <w:gridSpan w:val="3"/>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(4,464)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(4,725)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(8,190)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73.3%</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83.5%</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-14,024</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-17,388</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24.0%</w:t>
            </w:r>
          </w:p>
        </w:tc>
      </w:tr>
      <w:tr>
        <w:trPr>
          <w:trHeight w:val="149"/>
        </w:trPr>
        <w:tc>
          <w:tcPr>
            <w:tcW w:w="31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840" w:type="dxa"/>
            <w:vAlign w:val="bottom"/>
            <w:gridSpan w:val="3"/>
          </w:tcPr>
          <w:p>
            <w:pPr>
              <w:jc w:val="right"/>
              <w:ind w:right="108"/>
              <w:spacing w:after="0" w:line="149" w:lineRule="exact"/>
              <w:rPr>
                <w:sz w:val="20"/>
                <w:szCs w:val="20"/>
                <w:color w:val="auto"/>
              </w:rPr>
            </w:pPr>
            <w:r>
              <w:rPr>
                <w:rFonts w:ascii="Arial" w:cs="Arial" w:eastAsia="Arial" w:hAnsi="Arial"/>
                <w:sz w:val="14"/>
                <w:szCs w:val="14"/>
                <w:b w:val="1"/>
                <w:bCs w:val="1"/>
                <w:color w:val="auto"/>
              </w:rPr>
              <w:t>51,724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right"/>
              <w:ind w:right="88"/>
              <w:spacing w:after="0" w:line="149" w:lineRule="exact"/>
              <w:rPr>
                <w:sz w:val="20"/>
                <w:szCs w:val="20"/>
                <w:color w:val="auto"/>
              </w:rPr>
            </w:pPr>
            <w:r>
              <w:rPr>
                <w:rFonts w:ascii="Arial" w:cs="Arial" w:eastAsia="Arial" w:hAnsi="Arial"/>
                <w:sz w:val="14"/>
                <w:szCs w:val="14"/>
                <w:b w:val="1"/>
                <w:bCs w:val="1"/>
                <w:color w:val="auto"/>
              </w:rPr>
              <w:t>62,783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55,292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rPr>
              <w:t>-11.9%</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rPr>
              <w:t>6.9%</w:t>
            </w:r>
          </w:p>
        </w:tc>
        <w:tc>
          <w:tcPr>
            <w:tcW w:w="100" w:type="dxa"/>
            <w:vAlign w:val="bottom"/>
          </w:tcPr>
          <w:p>
            <w:pPr>
              <w:spacing w:after="0"/>
              <w:rPr>
                <w:sz w:val="12"/>
                <w:szCs w:val="12"/>
                <w:color w:val="auto"/>
              </w:rPr>
            </w:pPr>
          </w:p>
        </w:tc>
        <w:tc>
          <w:tcPr>
            <w:tcW w:w="940" w:type="dxa"/>
            <w:vAlign w:val="bottom"/>
            <w:gridSpan w:val="2"/>
          </w:tcPr>
          <w:p>
            <w:pPr>
              <w:jc w:val="right"/>
              <w:ind w:right="188"/>
              <w:spacing w:after="0" w:line="149" w:lineRule="exact"/>
              <w:rPr>
                <w:sz w:val="20"/>
                <w:szCs w:val="20"/>
                <w:color w:val="auto"/>
              </w:rPr>
            </w:pPr>
            <w:r>
              <w:rPr>
                <w:rFonts w:ascii="Arial" w:cs="Arial" w:eastAsia="Arial" w:hAnsi="Arial"/>
                <w:sz w:val="14"/>
                <w:szCs w:val="14"/>
                <w:b w:val="1"/>
                <w:bCs w:val="1"/>
                <w:color w:val="auto"/>
              </w:rPr>
              <w:t>154,296</w:t>
            </w:r>
          </w:p>
        </w:tc>
        <w:tc>
          <w:tcPr>
            <w:tcW w:w="100" w:type="dxa"/>
            <w:vAlign w:val="bottom"/>
          </w:tcPr>
          <w:p>
            <w:pPr>
              <w:spacing w:after="0"/>
              <w:rPr>
                <w:sz w:val="12"/>
                <w:szCs w:val="12"/>
                <w:color w:val="auto"/>
              </w:rPr>
            </w:pPr>
          </w:p>
        </w:tc>
        <w:tc>
          <w:tcPr>
            <w:tcW w:w="940" w:type="dxa"/>
            <w:vAlign w:val="bottom"/>
            <w:gridSpan w:val="2"/>
          </w:tcPr>
          <w:p>
            <w:pPr>
              <w:jc w:val="right"/>
              <w:ind w:right="188"/>
              <w:spacing w:after="0" w:line="149" w:lineRule="exact"/>
              <w:rPr>
                <w:sz w:val="20"/>
                <w:szCs w:val="20"/>
                <w:color w:val="auto"/>
              </w:rPr>
            </w:pPr>
            <w:r>
              <w:rPr>
                <w:rFonts w:ascii="Arial" w:cs="Arial" w:eastAsia="Arial" w:hAnsi="Arial"/>
                <w:sz w:val="14"/>
                <w:szCs w:val="14"/>
                <w:b w:val="1"/>
                <w:bCs w:val="1"/>
                <w:color w:val="auto"/>
              </w:rPr>
              <w:t>176,068</w:t>
            </w:r>
          </w:p>
        </w:tc>
        <w:tc>
          <w:tcPr>
            <w:tcW w:w="10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14.1%</w:t>
            </w:r>
          </w:p>
        </w:tc>
      </w:tr>
      <w:tr>
        <w:trPr>
          <w:trHeight w:val="130"/>
        </w:trPr>
        <w:tc>
          <w:tcPr>
            <w:tcW w:w="31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Other income and expenses, net (profitability of</w:t>
            </w: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67"/>
        </w:trPr>
        <w:tc>
          <w:tcPr>
            <w:tcW w:w="31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lace)</w:t>
            </w:r>
          </w:p>
        </w:tc>
        <w:tc>
          <w:tcPr>
            <w:tcW w:w="840" w:type="dxa"/>
            <w:vAlign w:val="bottom"/>
            <w:gridSpan w:val="3"/>
            <w:shd w:val="clear" w:color="auto" w:fill="CCEEFF"/>
          </w:tcPr>
          <w:p>
            <w:pPr>
              <w:jc w:val="right"/>
              <w:ind w:right="108"/>
              <w:spacing w:after="0"/>
              <w:rPr>
                <w:sz w:val="20"/>
                <w:szCs w:val="20"/>
                <w:color w:val="auto"/>
              </w:rPr>
            </w:pPr>
            <w:r>
              <w:rPr>
                <w:rFonts w:ascii="Arial" w:cs="Arial" w:eastAsia="Arial" w:hAnsi="Arial"/>
                <w:sz w:val="14"/>
                <w:szCs w:val="14"/>
                <w:color w:val="auto"/>
              </w:rPr>
              <w:t>6,737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88"/>
              <w:spacing w:after="0"/>
              <w:rPr>
                <w:sz w:val="20"/>
                <w:szCs w:val="20"/>
                <w:color w:val="auto"/>
              </w:rPr>
            </w:pPr>
            <w:r>
              <w:rPr>
                <w:rFonts w:ascii="Arial" w:cs="Arial" w:eastAsia="Arial" w:hAnsi="Arial"/>
                <w:sz w:val="14"/>
                <w:szCs w:val="14"/>
                <w:color w:val="auto"/>
              </w:rPr>
              <w:t>8,108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4,500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-44.5%</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-33.2%</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4,780</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30,320</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534.3%</w:t>
            </w:r>
          </w:p>
        </w:tc>
      </w:tr>
      <w:tr>
        <w:trPr>
          <w:trHeight w:val="149"/>
        </w:trPr>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rPr>
              <w:t>Income tax</w:t>
            </w:r>
          </w:p>
        </w:tc>
        <w:tc>
          <w:tcPr>
            <w:tcW w:w="84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(16,811)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(20,495)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(17,097)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-16.6%</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1.7%</w:t>
            </w:r>
          </w:p>
        </w:tc>
        <w:tc>
          <w:tcPr>
            <w:tcW w:w="100" w:type="dxa"/>
            <w:vAlign w:val="bottom"/>
          </w:tcPr>
          <w:p>
            <w:pPr>
              <w:spacing w:after="0"/>
              <w:rPr>
                <w:sz w:val="12"/>
                <w:szCs w:val="12"/>
                <w:color w:val="auto"/>
              </w:rPr>
            </w:pPr>
          </w:p>
        </w:tc>
        <w:tc>
          <w:tcPr>
            <w:tcW w:w="9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-49,732</w:t>
            </w:r>
          </w:p>
        </w:tc>
        <w:tc>
          <w:tcPr>
            <w:tcW w:w="100" w:type="dxa"/>
            <w:vAlign w:val="bottom"/>
          </w:tcPr>
          <w:p>
            <w:pPr>
              <w:spacing w:after="0"/>
              <w:rPr>
                <w:sz w:val="12"/>
                <w:szCs w:val="12"/>
                <w:color w:val="auto"/>
              </w:rPr>
            </w:pPr>
          </w:p>
        </w:tc>
        <w:tc>
          <w:tcPr>
            <w:tcW w:w="9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-56,421</w:t>
            </w:r>
          </w:p>
        </w:tc>
        <w:tc>
          <w:tcPr>
            <w:tcW w:w="100" w:type="dxa"/>
            <w:vAlign w:val="bottom"/>
          </w:tcPr>
          <w:p>
            <w:pPr>
              <w:spacing w:after="0"/>
              <w:rPr>
                <w:sz w:val="12"/>
                <w:szCs w:val="12"/>
                <w:color w:val="auto"/>
              </w:rPr>
            </w:pP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13.5%</w:t>
            </w:r>
          </w:p>
        </w:tc>
      </w:tr>
      <w:tr>
        <w:trPr>
          <w:trHeight w:val="149"/>
        </w:trPr>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before translation results</w:t>
            </w:r>
          </w:p>
        </w:tc>
        <w:tc>
          <w:tcPr>
            <w:tcW w:w="840" w:type="dxa"/>
            <w:vAlign w:val="bottom"/>
            <w:gridSpan w:val="3"/>
            <w:shd w:val="clear" w:color="auto" w:fill="CCEEFF"/>
          </w:tcPr>
          <w:p>
            <w:pPr>
              <w:jc w:val="right"/>
              <w:ind w:right="108"/>
              <w:spacing w:after="0" w:line="149" w:lineRule="exact"/>
              <w:rPr>
                <w:sz w:val="20"/>
                <w:szCs w:val="20"/>
                <w:color w:val="auto"/>
              </w:rPr>
            </w:pPr>
            <w:r>
              <w:rPr>
                <w:rFonts w:ascii="Arial" w:cs="Arial" w:eastAsia="Arial" w:hAnsi="Arial"/>
                <w:sz w:val="14"/>
                <w:szCs w:val="14"/>
                <w:b w:val="1"/>
                <w:bCs w:val="1"/>
                <w:color w:val="auto"/>
              </w:rPr>
              <w:t>41,650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88"/>
              <w:spacing w:after="0" w:line="149" w:lineRule="exact"/>
              <w:rPr>
                <w:sz w:val="20"/>
                <w:szCs w:val="20"/>
                <w:color w:val="auto"/>
              </w:rPr>
            </w:pPr>
            <w:r>
              <w:rPr>
                <w:rFonts w:ascii="Arial" w:cs="Arial" w:eastAsia="Arial" w:hAnsi="Arial"/>
                <w:sz w:val="14"/>
                <w:szCs w:val="14"/>
                <w:b w:val="1"/>
                <w:bCs w:val="1"/>
                <w:color w:val="auto"/>
              </w:rPr>
              <w:t>50,396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42,695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-15.3%</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2.5%</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b w:val="1"/>
                <w:bCs w:val="1"/>
                <w:color w:val="auto"/>
              </w:rPr>
              <w:t>109,344</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b w:val="1"/>
                <w:bCs w:val="1"/>
                <w:color w:val="auto"/>
              </w:rPr>
              <w:t>149,968</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37.2%</w:t>
            </w:r>
          </w:p>
        </w:tc>
      </w:tr>
      <w:tr>
        <w:trPr>
          <w:trHeight w:val="149"/>
        </w:trPr>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rPr>
              <w:t>Translations results</w:t>
            </w:r>
          </w:p>
        </w:tc>
        <w:tc>
          <w:tcPr>
            <w:tcW w:w="84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(175)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(29)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(301)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952.2%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72.1%</w:t>
            </w:r>
          </w:p>
        </w:tc>
        <w:tc>
          <w:tcPr>
            <w:tcW w:w="100" w:type="dxa"/>
            <w:vAlign w:val="bottom"/>
          </w:tcPr>
          <w:p>
            <w:pPr>
              <w:spacing w:after="0"/>
              <w:rPr>
                <w:sz w:val="12"/>
                <w:szCs w:val="12"/>
                <w:color w:val="auto"/>
              </w:rPr>
            </w:pPr>
          </w:p>
        </w:tc>
        <w:tc>
          <w:tcPr>
            <w:tcW w:w="9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-229</w:t>
            </w:r>
          </w:p>
        </w:tc>
        <w:tc>
          <w:tcPr>
            <w:tcW w:w="100" w:type="dxa"/>
            <w:vAlign w:val="bottom"/>
          </w:tcPr>
          <w:p>
            <w:pPr>
              <w:spacing w:after="0"/>
              <w:rPr>
                <w:sz w:val="12"/>
                <w:szCs w:val="12"/>
                <w:color w:val="auto"/>
              </w:rPr>
            </w:pPr>
          </w:p>
        </w:tc>
        <w:tc>
          <w:tcPr>
            <w:tcW w:w="9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-206</w:t>
            </w:r>
          </w:p>
        </w:tc>
        <w:tc>
          <w:tcPr>
            <w:tcW w:w="100" w:type="dxa"/>
            <w:vAlign w:val="bottom"/>
          </w:tcPr>
          <w:p>
            <w:pPr>
              <w:spacing w:after="0"/>
              <w:rPr>
                <w:sz w:val="12"/>
                <w:szCs w:val="12"/>
                <w:color w:val="auto"/>
              </w:rPr>
            </w:pP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-10.2%</w:t>
            </w:r>
          </w:p>
        </w:tc>
      </w:tr>
      <w:tr>
        <w:trPr>
          <w:trHeight w:val="162"/>
        </w:trPr>
        <w:tc>
          <w:tcPr>
            <w:tcW w:w="31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income</w:t>
            </w:r>
          </w:p>
        </w:tc>
        <w:tc>
          <w:tcPr>
            <w:tcW w:w="840" w:type="dxa"/>
            <w:vAlign w:val="bottom"/>
            <w:gridSpan w:val="3"/>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41,475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50,367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42,394</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-15.8%</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2.2%</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109,115</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149,761</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37.3%</w:t>
            </w:r>
          </w:p>
        </w:tc>
      </w:tr>
      <w:tr>
        <w:trPr>
          <w:trHeight w:val="142"/>
        </w:trPr>
        <w:tc>
          <w:tcPr>
            <w:tcW w:w="31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ROAE</w:t>
            </w:r>
          </w:p>
        </w:tc>
        <w:tc>
          <w:tcPr>
            <w:tcW w:w="6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27.6</w:t>
            </w:r>
          </w:p>
        </w:tc>
        <w:tc>
          <w:tcPr>
            <w:tcW w:w="1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33.3</w:t>
            </w:r>
          </w:p>
        </w:tc>
        <w:tc>
          <w:tcPr>
            <w:tcW w:w="1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26.0</w:t>
            </w:r>
          </w:p>
        </w:tc>
        <w:tc>
          <w:tcPr>
            <w:tcW w:w="26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w w:val="87"/>
              </w:rPr>
              <w:t>-730 bps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87"/>
              </w:rPr>
              <w:t>-160 bps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23.4</w:t>
            </w:r>
          </w:p>
        </w:tc>
        <w:tc>
          <w:tcPr>
            <w:tcW w:w="26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1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30.6</w:t>
            </w:r>
          </w:p>
        </w:tc>
        <w:tc>
          <w:tcPr>
            <w:tcW w:w="26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10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720 bps</w:t>
            </w:r>
          </w:p>
        </w:tc>
        <w:tc>
          <w:tcPr>
            <w:tcW w:w="140" w:type="dxa"/>
            <w:vAlign w:val="bottom"/>
          </w:tcPr>
          <w:p>
            <w:pPr>
              <w:spacing w:after="0"/>
              <w:rPr>
                <w:sz w:val="12"/>
                <w:szCs w:val="12"/>
                <w:color w:val="auto"/>
              </w:rPr>
            </w:pPr>
          </w:p>
        </w:tc>
      </w:tr>
      <w:tr>
        <w:trPr>
          <w:trHeight w:val="376"/>
        </w:trPr>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4"/>
          </w:tcPr>
          <w:p>
            <w:pPr>
              <w:ind w:left="240"/>
              <w:spacing w:after="0"/>
              <w:rPr>
                <w:sz w:val="20"/>
                <w:szCs w:val="20"/>
                <w:color w:val="auto"/>
              </w:rPr>
            </w:pPr>
            <w:r>
              <w:rPr>
                <w:rFonts w:ascii="Arial" w:cs="Arial" w:eastAsia="Arial" w:hAnsi="Arial"/>
                <w:sz w:val="14"/>
                <w:szCs w:val="14"/>
                <w:b w:val="1"/>
                <w:bCs w:val="1"/>
                <w:color w:val="auto"/>
              </w:rPr>
              <w:t>As of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20" w:type="dxa"/>
            <w:vAlign w:val="bottom"/>
            <w:gridSpan w:val="10"/>
          </w:tcPr>
          <w:p>
            <w:pPr>
              <w:ind w:left="560"/>
              <w:spacing w:after="0"/>
              <w:rPr>
                <w:sz w:val="20"/>
                <w:szCs w:val="20"/>
                <w:color w:val="auto"/>
              </w:rPr>
            </w:pPr>
            <w:r>
              <w:rPr>
                <w:rFonts w:ascii="Arial" w:cs="Arial" w:eastAsia="Arial" w:hAnsi="Arial"/>
                <w:sz w:val="14"/>
                <w:szCs w:val="14"/>
                <w:b w:val="1"/>
                <w:bCs w:val="1"/>
                <w:color w:val="auto"/>
              </w:rPr>
              <w:t>% change</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71"/>
        </w:trPr>
        <w:tc>
          <w:tcPr>
            <w:tcW w:w="30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b w:val="1"/>
                <w:bCs w:val="1"/>
                <w:color w:val="auto"/>
              </w:rPr>
              <w:t>Sep 18</w:t>
            </w:r>
          </w:p>
        </w:tc>
        <w:tc>
          <w:tcPr>
            <w:tcW w:w="180" w:type="dxa"/>
            <w:vAlign w:val="bottom"/>
            <w:tcBorders>
              <w:bottom w:val="single" w:sz="8" w:color="CCEEFF"/>
            </w:tcBorders>
            <w:gridSpan w:val="2"/>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b w:val="1"/>
                <w:bCs w:val="1"/>
                <w:color w:val="auto"/>
              </w:rPr>
              <w:t>Jun 19</w:t>
            </w:r>
          </w:p>
        </w:tc>
        <w:tc>
          <w:tcPr>
            <w:tcW w:w="200" w:type="dxa"/>
            <w:vAlign w:val="bottom"/>
            <w:tcBorders>
              <w:bottom w:val="single" w:sz="8" w:color="CCEEFF"/>
            </w:tcBorders>
            <w:gridSpan w:val="2"/>
          </w:tcPr>
          <w:p>
            <w:pPr>
              <w:spacing w:after="0"/>
              <w:rPr>
                <w:sz w:val="14"/>
                <w:szCs w:val="14"/>
                <w:color w:val="auto"/>
              </w:rPr>
            </w:pPr>
          </w:p>
        </w:tc>
        <w:tc>
          <w:tcPr>
            <w:tcW w:w="80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b w:val="1"/>
                <w:bCs w:val="1"/>
                <w:color w:val="auto"/>
              </w:rPr>
              <w:t>Sep 19</w:t>
            </w:r>
          </w:p>
        </w:tc>
        <w:tc>
          <w:tcPr>
            <w:tcW w:w="200" w:type="dxa"/>
            <w:vAlign w:val="bottom"/>
            <w:tcBorders>
              <w:bottom w:val="single" w:sz="8" w:color="CCEEFF"/>
            </w:tcBorders>
            <w:gridSpan w:val="2"/>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QoQ</w:t>
            </w:r>
          </w:p>
        </w:tc>
        <w:tc>
          <w:tcPr>
            <w:tcW w:w="220" w:type="dxa"/>
            <w:vAlign w:val="bottom"/>
            <w:tcBorders>
              <w:bottom w:val="single" w:sz="8" w:color="CCEEFF"/>
            </w:tcBorders>
            <w:gridSpan w:val="2"/>
          </w:tcPr>
          <w:p>
            <w:pPr>
              <w:spacing w:after="0"/>
              <w:rPr>
                <w:sz w:val="14"/>
                <w:szCs w:val="14"/>
                <w:color w:val="auto"/>
              </w:rPr>
            </w:pPr>
          </w:p>
        </w:tc>
        <w:tc>
          <w:tcPr>
            <w:tcW w:w="120" w:type="dxa"/>
            <w:vAlign w:val="bottom"/>
            <w:tcBorders>
              <w:bottom w:val="single" w:sz="8" w:color="auto"/>
            </w:tcBorders>
            <w:gridSpan w:val="2"/>
          </w:tcPr>
          <w:p>
            <w:pPr>
              <w:spacing w:after="0"/>
              <w:rPr>
                <w:sz w:val="14"/>
                <w:szCs w:val="14"/>
                <w:color w:val="auto"/>
              </w:rPr>
            </w:pPr>
          </w:p>
        </w:tc>
        <w:tc>
          <w:tcPr>
            <w:tcW w:w="6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YoY</w:t>
            </w:r>
          </w:p>
        </w:tc>
        <w:tc>
          <w:tcPr>
            <w:tcW w:w="260" w:type="dxa"/>
            <w:vAlign w:val="bottom"/>
            <w:tcBorders>
              <w:bottom w:val="single" w:sz="8" w:color="CCEEFF"/>
            </w:tcBorders>
            <w:gridSpan w:val="2"/>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r>
      <w:tr>
        <w:trPr>
          <w:trHeight w:val="142"/>
        </w:trPr>
        <w:tc>
          <w:tcPr>
            <w:tcW w:w="31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Total assets</w:t>
            </w:r>
          </w:p>
        </w:tc>
        <w:tc>
          <w:tcPr>
            <w:tcW w:w="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854,996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868,192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937,573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8.0%</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rPr>
              <w:t>Total liabilities</w:t>
            </w:r>
          </w:p>
        </w:tc>
        <w:tc>
          <w:tcPr>
            <w:tcW w:w="92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232,544</w:t>
            </w:r>
          </w:p>
        </w:tc>
        <w:tc>
          <w:tcPr>
            <w:tcW w:w="100" w:type="dxa"/>
            <w:vAlign w:val="bottom"/>
          </w:tcPr>
          <w:p>
            <w:pPr>
              <w:spacing w:after="0"/>
              <w:rPr>
                <w:sz w:val="12"/>
                <w:szCs w:val="12"/>
                <w:color w:val="auto"/>
              </w:rPr>
            </w:pPr>
          </w:p>
        </w:tc>
        <w:tc>
          <w:tcPr>
            <w:tcW w:w="92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238,247</w:t>
            </w:r>
          </w:p>
        </w:tc>
        <w:tc>
          <w:tcPr>
            <w:tcW w:w="100" w:type="dxa"/>
            <w:vAlign w:val="bottom"/>
          </w:tcPr>
          <w:p>
            <w:pPr>
              <w:spacing w:after="0"/>
              <w:rPr>
                <w:sz w:val="12"/>
                <w:szCs w:val="12"/>
                <w:color w:val="auto"/>
              </w:rPr>
            </w:pPr>
          </w:p>
        </w:tc>
        <w:tc>
          <w:tcPr>
            <w:tcW w:w="9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265,447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11.4%</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11.4%</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89"/>
        </w:trPr>
        <w:tc>
          <w:tcPr>
            <w:tcW w:w="316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 xml:space="preserve">Net shareholders’ equity </w:t>
            </w:r>
            <w:r>
              <w:rPr>
                <w:rFonts w:ascii="Arial" w:cs="Arial" w:eastAsia="Arial" w:hAnsi="Arial"/>
                <w:sz w:val="21"/>
                <w:szCs w:val="21"/>
                <w:color w:val="auto"/>
                <w:vertAlign w:val="superscript"/>
              </w:rPr>
              <w:t>(1)</w:t>
            </w:r>
          </w:p>
        </w:tc>
        <w:tc>
          <w:tcPr>
            <w:tcW w:w="92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622,452</w:t>
            </w:r>
          </w:p>
        </w:tc>
        <w:tc>
          <w:tcPr>
            <w:tcW w:w="100" w:type="dxa"/>
            <w:vAlign w:val="bottom"/>
            <w:shd w:val="clear" w:color="auto" w:fill="CCEEFF"/>
          </w:tcPr>
          <w:p>
            <w:pPr>
              <w:spacing w:after="0"/>
              <w:rPr>
                <w:sz w:val="16"/>
                <w:szCs w:val="16"/>
                <w:color w:val="auto"/>
              </w:rPr>
            </w:pPr>
          </w:p>
        </w:tc>
        <w:tc>
          <w:tcPr>
            <w:tcW w:w="92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629,945</w:t>
            </w:r>
          </w:p>
        </w:tc>
        <w:tc>
          <w:tcPr>
            <w:tcW w:w="10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672,126</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6.7%</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-513715</wp:posOffset>
            </wp:positionV>
            <wp:extent cx="2092325" cy="3003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092325" cy="3003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-119380</wp:posOffset>
            </wp:positionV>
            <wp:extent cx="2092325" cy="1200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092325" cy="12001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(1) Net shareholders' equity includes unrealized gains from Prima's investment portfolio.</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w w:val="95"/>
              </w:rPr>
              <w:t>Funds under management</w:t>
            </w: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w w:val="95"/>
              </w:rPr>
              <w:t>Funds under management</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Jun 19</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7"/>
          </w:tcPr>
          <w:p>
            <w:pPr>
              <w:ind w:left="40"/>
              <w:spacing w:after="0"/>
              <w:rPr>
                <w:sz w:val="20"/>
                <w:szCs w:val="20"/>
                <w:color w:val="auto"/>
              </w:rPr>
            </w:pPr>
            <w:r>
              <w:rPr>
                <w:rFonts w:ascii="Arial" w:cs="Arial" w:eastAsia="Arial" w:hAnsi="Arial"/>
                <w:sz w:val="18"/>
                <w:szCs w:val="18"/>
                <w:b w:val="1"/>
                <w:bCs w:val="1"/>
                <w:color w:val="auto"/>
              </w:rPr>
              <w:t>% share</w:t>
            </w:r>
          </w:p>
        </w:tc>
        <w:tc>
          <w:tcPr>
            <w:tcW w:w="72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w w:val="86"/>
              </w:rPr>
              <w:t>Sep 19</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3"/>
          </w:tcPr>
          <w:p>
            <w:pPr>
              <w:jc w:val="right"/>
              <w:ind w:right="185"/>
              <w:spacing w:after="0"/>
              <w:rPr>
                <w:sz w:val="20"/>
                <w:szCs w:val="20"/>
                <w:color w:val="auto"/>
              </w:rPr>
            </w:pPr>
            <w:r>
              <w:rPr>
                <w:rFonts w:ascii="Arial" w:cs="Arial" w:eastAsia="Arial" w:hAnsi="Arial"/>
                <w:sz w:val="18"/>
                <w:szCs w:val="18"/>
                <w:b w:val="1"/>
                <w:bCs w:val="1"/>
                <w:color w:val="auto"/>
                <w:w w:val="95"/>
              </w:rPr>
              <w:t>% share</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Fund 0</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20" w:type="dxa"/>
            <w:vAlign w:val="bottom"/>
            <w:vMerge w:val="continue"/>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Fund 1</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5,774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6,091</w:t>
            </w:r>
          </w:p>
        </w:tc>
        <w:tc>
          <w:tcPr>
            <w:tcW w:w="1140" w:type="dxa"/>
            <w:vAlign w:val="bottom"/>
            <w:gridSpan w:val="5"/>
          </w:tcPr>
          <w:p>
            <w:pPr>
              <w:jc w:val="right"/>
              <w:spacing w:after="0"/>
              <w:rPr>
                <w:sz w:val="20"/>
                <w:szCs w:val="20"/>
                <w:color w:val="auto"/>
              </w:rPr>
            </w:pPr>
            <w:r>
              <w:rPr>
                <w:rFonts w:ascii="Arial" w:cs="Arial" w:eastAsia="Arial" w:hAnsi="Arial"/>
                <w:sz w:val="18"/>
                <w:szCs w:val="18"/>
                <w:color w:val="auto"/>
              </w:rPr>
              <w:t>11.6%</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Fund 2</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38,467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39,303</w:t>
            </w:r>
          </w:p>
        </w:tc>
        <w:tc>
          <w:tcPr>
            <w:tcW w:w="11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Fund 3</w:t>
            </w: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6,793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6,460</w:t>
            </w:r>
          </w:p>
        </w:tc>
        <w:tc>
          <w:tcPr>
            <w:tcW w:w="1140" w:type="dxa"/>
            <w:vAlign w:val="bottom"/>
            <w:gridSpan w:val="5"/>
          </w:tcPr>
          <w:p>
            <w:pPr>
              <w:jc w:val="right"/>
              <w:spacing w:after="0"/>
              <w:rPr>
                <w:sz w:val="20"/>
                <w:szCs w:val="20"/>
                <w:color w:val="auto"/>
              </w:rPr>
            </w:pPr>
            <w:r>
              <w:rPr>
                <w:rFonts w:ascii="Arial" w:cs="Arial" w:eastAsia="Arial" w:hAnsi="Arial"/>
                <w:sz w:val="18"/>
                <w:szCs w:val="18"/>
                <w:color w:val="auto"/>
              </w:rPr>
              <w:t>12.3%</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 Millions</w:t>
            </w:r>
          </w:p>
        </w:tc>
        <w:tc>
          <w:tcPr>
            <w:tcW w:w="6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right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right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51,724</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right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top w:val="single" w:sz="8" w:color="CCEEFF"/>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52,566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4"/>
              </w:rPr>
              <w: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160" w:type="dxa"/>
            <w:vAlign w:val="bottom"/>
            <w:gridSpan w:val="2"/>
          </w:tcPr>
          <w:p>
            <w:pPr>
              <w:spacing w:after="0"/>
              <w:rPr>
                <w:sz w:val="20"/>
                <w:szCs w:val="20"/>
                <w:color w:val="auto"/>
              </w:rPr>
            </w:pPr>
            <w:r>
              <w:rPr>
                <w:rFonts w:ascii="Arial" w:cs="Arial" w:eastAsia="Arial" w:hAnsi="Arial"/>
                <w:sz w:val="18"/>
                <w:szCs w:val="18"/>
                <w:i w:val="1"/>
                <w:iCs w:val="1"/>
                <w:color w:val="auto"/>
              </w:rPr>
              <w:t>Source: SBS</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20" w:type="dxa"/>
            <w:vAlign w:val="bottom"/>
            <w:gridSpan w:val="9"/>
          </w:tcPr>
          <w:p>
            <w:pPr>
              <w:spacing w:after="0"/>
              <w:rPr>
                <w:sz w:val="20"/>
                <w:szCs w:val="20"/>
                <w:color w:val="auto"/>
              </w:rPr>
            </w:pPr>
            <w:r>
              <w:rPr>
                <w:rFonts w:ascii="Arial" w:cs="Arial" w:eastAsia="Arial" w:hAnsi="Arial"/>
                <w:sz w:val="18"/>
                <w:szCs w:val="18"/>
                <w:b w:val="1"/>
                <w:bCs w:val="1"/>
                <w:color w:val="auto"/>
              </w:rPr>
              <w:t>Nominal profitability over the last 12 months</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214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w w:val="92"/>
              </w:rPr>
              <w:t>Jun 19 / Jun 18</w:t>
            </w:r>
          </w:p>
        </w:tc>
        <w:tc>
          <w:tcPr>
            <w:tcW w:w="1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b w:val="1"/>
                <w:bCs w:val="1"/>
                <w:color w:val="auto"/>
                <w:w w:val="89"/>
              </w:rPr>
              <w:t>Sep 19 / Sep 18</w:t>
            </w:r>
          </w:p>
        </w:tc>
        <w:tc>
          <w:tcPr>
            <w:tcW w:w="160" w:type="dxa"/>
            <w:vAlign w:val="bottom"/>
            <w:tcBorders>
              <w:bottom w:val="single" w:sz="8" w:color="CCEEFF"/>
            </w:tcBorders>
          </w:tcPr>
          <w:p>
            <w:pPr>
              <w:spacing w:after="0"/>
              <w:rPr>
                <w:sz w:val="24"/>
                <w:szCs w:val="24"/>
                <w:color w:val="auto"/>
              </w:rPr>
            </w:pPr>
          </w:p>
        </w:tc>
        <w:tc>
          <w:tcPr>
            <w:tcW w:w="420" w:type="dxa"/>
            <w:vAlign w:val="bottom"/>
            <w:gridSpan w:val="3"/>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Fund 0</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Fund 1</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4"/>
          </w:tcPr>
          <w:p>
            <w:pPr>
              <w:jc w:val="right"/>
              <w:ind w:right="20"/>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90"/>
              </w:rPr>
              <w:t>12.0%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Fund 2</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6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Fund 3</w:t>
            </w: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4"/>
          </w:tcPr>
          <w:p>
            <w:pPr>
              <w:jc w:val="right"/>
              <w:ind w:right="20"/>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97"/>
              </w:rPr>
              <w:t>-0.8%</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AFP fees</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Fee based on flow</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1.60%</w:t>
            </w:r>
          </w:p>
        </w:tc>
        <w:tc>
          <w:tcPr>
            <w:tcW w:w="180" w:type="dxa"/>
            <w:vAlign w:val="bottom"/>
          </w:tcPr>
          <w:p>
            <w:pPr>
              <w:spacing w:after="0"/>
              <w:rPr>
                <w:sz w:val="24"/>
                <w:szCs w:val="24"/>
                <w:color w:val="auto"/>
              </w:rPr>
            </w:pPr>
          </w:p>
        </w:tc>
        <w:tc>
          <w:tcPr>
            <w:tcW w:w="3860" w:type="dxa"/>
            <w:vAlign w:val="bottom"/>
            <w:gridSpan w:val="18"/>
          </w:tcPr>
          <w:p>
            <w:pPr>
              <w:spacing w:after="0"/>
              <w:rPr>
                <w:sz w:val="20"/>
                <w:szCs w:val="20"/>
                <w:color w:val="auto"/>
              </w:rPr>
            </w:pPr>
            <w:r>
              <w:rPr>
                <w:rFonts w:ascii="Arial" w:cs="Arial" w:eastAsia="Arial" w:hAnsi="Arial"/>
                <w:sz w:val="18"/>
                <w:szCs w:val="18"/>
                <w:color w:val="auto"/>
              </w:rPr>
              <w:t>Applied to the affiliates’ monthly remuneration.</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Mixed fee</w:t>
            </w:r>
          </w:p>
        </w:tc>
        <w:tc>
          <w:tcPr>
            <w:tcW w:w="6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tcBorders>
              <w:top w:val="single" w:sz="8" w:color="auto"/>
              <w:right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lef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5"/>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6"/>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4"/>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Flow</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0.18%</w:t>
            </w:r>
          </w:p>
        </w:tc>
        <w:tc>
          <w:tcPr>
            <w:tcW w:w="180" w:type="dxa"/>
            <w:vAlign w:val="bottom"/>
            <w:shd w:val="clear" w:color="auto" w:fill="CCEEFF"/>
          </w:tcPr>
          <w:p>
            <w:pPr>
              <w:spacing w:after="0"/>
              <w:rPr>
                <w:sz w:val="18"/>
                <w:szCs w:val="18"/>
                <w:color w:val="auto"/>
              </w:rPr>
            </w:pPr>
          </w:p>
        </w:tc>
        <w:tc>
          <w:tcPr>
            <w:tcW w:w="7260" w:type="dxa"/>
            <w:vAlign w:val="bottom"/>
            <w:gridSpan w:val="27"/>
            <w:shd w:val="clear" w:color="auto" w:fill="CCEEFF"/>
          </w:tcPr>
          <w:p>
            <w:pPr>
              <w:spacing w:after="0"/>
              <w:rPr>
                <w:sz w:val="20"/>
                <w:szCs w:val="20"/>
                <w:color w:val="auto"/>
              </w:rPr>
            </w:pPr>
            <w:r>
              <w:rPr>
                <w:rFonts w:ascii="Arial" w:cs="Arial" w:eastAsia="Arial" w:hAnsi="Arial"/>
                <w:sz w:val="18"/>
                <w:szCs w:val="18"/>
                <w:color w:val="auto"/>
              </w:rPr>
              <w:t>Applied to the affiliates’ monthly remuneration since June 2017. Feb 17- may 17 =0.87%.</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5"/>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6"/>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4"/>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w:t>
            </w:r>
          </w:p>
        </w:tc>
        <w:tc>
          <w:tcPr>
            <w:tcW w:w="64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1.25%</w:t>
            </w:r>
          </w:p>
        </w:tc>
        <w:tc>
          <w:tcPr>
            <w:tcW w:w="180" w:type="dxa"/>
            <w:vAlign w:val="bottom"/>
            <w:shd w:val="clear" w:color="auto" w:fill="CCEEFF"/>
          </w:tcPr>
          <w:p>
            <w:pPr>
              <w:spacing w:after="0"/>
              <w:rPr>
                <w:sz w:val="17"/>
                <w:szCs w:val="17"/>
                <w:color w:val="auto"/>
              </w:rPr>
            </w:pPr>
          </w:p>
        </w:tc>
        <w:tc>
          <w:tcPr>
            <w:tcW w:w="8440" w:type="dxa"/>
            <w:vAlign w:val="bottom"/>
            <w:gridSpan w:val="29"/>
            <w:shd w:val="clear" w:color="auto" w:fill="CCEEFF"/>
          </w:tcPr>
          <w:p>
            <w:pPr>
              <w:spacing w:after="0" w:line="201" w:lineRule="exact"/>
              <w:rPr>
                <w:sz w:val="20"/>
                <w:szCs w:val="20"/>
                <w:color w:val="auto"/>
              </w:rPr>
            </w:pPr>
            <w:r>
              <w:rPr>
                <w:rFonts w:ascii="Arial" w:cs="Arial" w:eastAsia="Arial" w:hAnsi="Arial"/>
                <w:sz w:val="18"/>
                <w:szCs w:val="18"/>
                <w:color w:val="auto"/>
                <w:w w:val="94"/>
              </w:rPr>
              <w:t>Applies annualy to the new balance since February 2013 for new affiliates to the system and beginning on June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0" w:type="dxa"/>
            <w:vAlign w:val="bottom"/>
            <w:gridSpan w:val="23"/>
            <w:shd w:val="clear" w:color="auto" w:fill="CCEEFF"/>
          </w:tcPr>
          <w:p>
            <w:pPr>
              <w:spacing w:after="0"/>
              <w:rPr>
                <w:sz w:val="20"/>
                <w:szCs w:val="20"/>
                <w:color w:val="auto"/>
              </w:rPr>
            </w:pPr>
            <w:r>
              <w:rPr>
                <w:rFonts w:ascii="Arial" w:cs="Arial" w:eastAsia="Arial" w:hAnsi="Arial"/>
                <w:sz w:val="18"/>
                <w:szCs w:val="18"/>
                <w:color w:val="auto"/>
                <w:w w:val="96"/>
              </w:rPr>
              <w:t>2013 for old affiliates who have chosen this commission scheme.</w:t>
            </w: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Main indicators</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98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Main indicators and market share</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rPr>
              <w:t>Prima</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4"/>
              </w:rPr>
              <w:t>System</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6"/>
          </w:tcPr>
          <w:p>
            <w:pPr>
              <w:jc w:val="right"/>
              <w:ind w:right="565"/>
              <w:spacing w:after="0"/>
              <w:rPr>
                <w:sz w:val="20"/>
                <w:szCs w:val="20"/>
                <w:color w:val="auto"/>
              </w:rPr>
            </w:pPr>
            <w:r>
              <w:rPr>
                <w:rFonts w:ascii="Arial" w:cs="Arial" w:eastAsia="Arial" w:hAnsi="Arial"/>
                <w:sz w:val="18"/>
                <w:szCs w:val="18"/>
                <w:b w:val="1"/>
                <w:bCs w:val="1"/>
                <w:color w:val="auto"/>
              </w:rPr>
              <w:t>% share</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Prima</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System</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 share</w:t>
            </w:r>
          </w:p>
        </w:tc>
        <w:tc>
          <w:tcPr>
            <w:tcW w:w="0" w:type="dxa"/>
            <w:vAlign w:val="bottom"/>
          </w:tcPr>
          <w:p>
            <w:pPr>
              <w:spacing w:after="0"/>
              <w:rPr>
                <w:sz w:val="1"/>
                <w:szCs w:val="1"/>
                <w:color w:val="auto"/>
              </w:rPr>
            </w:pPr>
          </w:p>
        </w:tc>
      </w:tr>
      <w:tr>
        <w:trPr>
          <w:trHeight w:val="234"/>
        </w:trPr>
        <w:tc>
          <w:tcPr>
            <w:tcW w:w="2980" w:type="dxa"/>
            <w:vAlign w:val="bottom"/>
            <w:gridSpan w:val="5"/>
            <w:vMerge w:val="continue"/>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gridSpan w:val="4"/>
          </w:tcPr>
          <w:p>
            <w:pPr>
              <w:ind w:left="200"/>
              <w:spacing w:after="0"/>
              <w:rPr>
                <w:sz w:val="20"/>
                <w:szCs w:val="20"/>
                <w:color w:val="auto"/>
              </w:rPr>
            </w:pPr>
            <w:r>
              <w:rPr>
                <w:rFonts w:ascii="Arial" w:cs="Arial" w:eastAsia="Arial" w:hAnsi="Arial"/>
                <w:sz w:val="18"/>
                <w:szCs w:val="18"/>
                <w:b w:val="1"/>
                <w:bCs w:val="1"/>
                <w:color w:val="auto"/>
              </w:rPr>
              <w:t>2Q19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5"/>
              </w:rPr>
              <w:t>2Q19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5"/>
          </w:tcPr>
          <w:p>
            <w:pPr>
              <w:jc w:val="right"/>
              <w:ind w:right="625"/>
              <w:spacing w:after="0"/>
              <w:rPr>
                <w:sz w:val="20"/>
                <w:szCs w:val="20"/>
                <w:color w:val="auto"/>
              </w:rPr>
            </w:pPr>
            <w:r>
              <w:rPr>
                <w:rFonts w:ascii="Arial" w:cs="Arial" w:eastAsia="Arial" w:hAnsi="Arial"/>
                <w:sz w:val="18"/>
                <w:szCs w:val="18"/>
                <w:b w:val="1"/>
                <w:bCs w:val="1"/>
                <w:color w:val="auto"/>
                <w:w w:val="95"/>
              </w:rPr>
              <w:t>2Q19</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3Q19</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3Q19</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3Q19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000" w:type="dxa"/>
            <w:vAlign w:val="bottom"/>
            <w:tcBorders>
              <w:right w:val="single" w:sz="8" w:color="CCEEFF"/>
            </w:tcBorders>
            <w:gridSpan w:val="5"/>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20" w:type="dxa"/>
            <w:vAlign w:val="bottom"/>
            <w:gridSpan w:val="6"/>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Affiliates</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gridSpan w:val="5"/>
            <w:shd w:val="clear" w:color="auto" w:fill="CCEEFF"/>
          </w:tcPr>
          <w:p>
            <w:pPr>
              <w:ind w:left="260"/>
              <w:spacing w:after="0"/>
              <w:rPr>
                <w:sz w:val="20"/>
                <w:szCs w:val="20"/>
                <w:color w:val="auto"/>
              </w:rPr>
            </w:pPr>
            <w:r>
              <w:rPr>
                <w:rFonts w:ascii="Arial" w:cs="Arial" w:eastAsia="Arial" w:hAnsi="Arial"/>
                <w:sz w:val="18"/>
                <w:szCs w:val="18"/>
                <w:color w:val="auto"/>
                <w:w w:val="87"/>
              </w:rPr>
              <w:t>2,334,751</w:t>
            </w:r>
          </w:p>
        </w:tc>
        <w:tc>
          <w:tcPr>
            <w:tcW w:w="100" w:type="dxa"/>
            <w:vAlign w:val="bottom"/>
            <w:vMerge w:val="continue"/>
            <w:shd w:val="clear" w:color="auto" w:fill="CCEEFF"/>
          </w:tcPr>
          <w:p>
            <w:pPr>
              <w:spacing w:after="0"/>
              <w:rPr>
                <w:sz w:val="18"/>
                <w:szCs w:val="18"/>
                <w:color w:val="auto"/>
              </w:rPr>
            </w:pPr>
          </w:p>
        </w:tc>
        <w:tc>
          <w:tcPr>
            <w:tcW w:w="10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7,224,167</w:t>
            </w:r>
          </w:p>
        </w:tc>
        <w:tc>
          <w:tcPr>
            <w:tcW w:w="220" w:type="dxa"/>
            <w:vAlign w:val="bottom"/>
            <w:vMerge w:val="continue"/>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2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2,343,978</w:t>
            </w:r>
          </w:p>
        </w:tc>
        <w:tc>
          <w:tcPr>
            <w:tcW w:w="100" w:type="dxa"/>
            <w:vAlign w:val="bottom"/>
            <w:vMerge w:val="continue"/>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7,331,986</w:t>
            </w:r>
          </w:p>
        </w:tc>
        <w:tc>
          <w:tcPr>
            <w:tcW w:w="220" w:type="dxa"/>
            <w:vAlign w:val="bottom"/>
            <w:vMerge w:val="continue"/>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40" w:type="dxa"/>
            <w:vAlign w:val="bottom"/>
          </w:tcPr>
          <w:p>
            <w:pPr>
              <w:spacing w:after="0" w:line="256" w:lineRule="exact"/>
              <w:rPr>
                <w:sz w:val="20"/>
                <w:szCs w:val="20"/>
                <w:color w:val="auto"/>
              </w:rPr>
            </w:pPr>
            <w:r>
              <w:rPr>
                <w:rFonts w:ascii="Arial" w:cs="Arial" w:eastAsia="Arial" w:hAnsi="Arial"/>
                <w:sz w:val="18"/>
                <w:szCs w:val="18"/>
                <w:color w:val="auto"/>
              </w:rPr>
              <w:t xml:space="preserve">New affiliations </w:t>
            </w:r>
            <w:r>
              <w:rPr>
                <w:rFonts w:ascii="Arial" w:cs="Arial" w:eastAsia="Arial" w:hAnsi="Arial"/>
                <w:sz w:val="29"/>
                <w:szCs w:val="29"/>
                <w:color w:val="auto"/>
                <w:vertAlign w:val="superscript"/>
              </w:rPr>
              <w:t>(1)</w:t>
            </w: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68,300</w:t>
            </w:r>
          </w:p>
        </w:tc>
        <w:tc>
          <w:tcPr>
            <w:tcW w:w="1340" w:type="dxa"/>
            <w:vAlign w:val="bottom"/>
            <w:gridSpan w:val="8"/>
          </w:tcPr>
          <w:p>
            <w:pPr>
              <w:jc w:val="right"/>
              <w:ind w:right="220"/>
              <w:spacing w:after="0"/>
              <w:rPr>
                <w:sz w:val="20"/>
                <w:szCs w:val="20"/>
                <w:color w:val="auto"/>
              </w:rPr>
            </w:pPr>
            <w:r>
              <w:rPr>
                <w:rFonts w:ascii="Arial" w:cs="Arial" w:eastAsia="Arial" w:hAnsi="Arial"/>
                <w:sz w:val="18"/>
                <w:szCs w:val="18"/>
                <w:color w:val="auto"/>
              </w:rPr>
              <w:t>96,917</w:t>
            </w:r>
          </w:p>
        </w:tc>
        <w:tc>
          <w:tcPr>
            <w:tcW w:w="280" w:type="dxa"/>
            <w:vAlign w:val="bottom"/>
          </w:tcPr>
          <w:p>
            <w:pPr>
              <w:spacing w:after="0"/>
              <w:rPr>
                <w:sz w:val="22"/>
                <w:szCs w:val="22"/>
                <w:color w:val="auto"/>
              </w:rPr>
            </w:pPr>
          </w:p>
        </w:tc>
        <w:tc>
          <w:tcPr>
            <w:tcW w:w="1020" w:type="dxa"/>
            <w:vAlign w:val="bottom"/>
            <w:gridSpan w:val="4"/>
          </w:tcPr>
          <w:p>
            <w:pPr>
              <w:jc w:val="right"/>
              <w:ind w:right="120"/>
              <w:spacing w:after="0"/>
              <w:rPr>
                <w:sz w:val="20"/>
                <w:szCs w:val="20"/>
                <w:color w:val="auto"/>
              </w:rPr>
            </w:pPr>
            <w:r>
              <w:rPr>
                <w:rFonts w:ascii="Arial" w:cs="Arial" w:eastAsia="Arial" w:hAnsi="Arial"/>
                <w:sz w:val="18"/>
                <w:szCs w:val="18"/>
                <w:color w:val="auto"/>
              </w:rPr>
              <w:t>70.5%</w:t>
            </w:r>
          </w:p>
        </w:tc>
        <w:tc>
          <w:tcPr>
            <w:tcW w:w="12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73,526</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4"/>
              </w:rPr>
              <w:t>Funds under management (S/ Millions)</w:t>
            </w:r>
          </w:p>
        </w:tc>
        <w:tc>
          <w:tcPr>
            <w:tcW w:w="8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51,724</w:t>
            </w:r>
          </w:p>
        </w:tc>
        <w:tc>
          <w:tcPr>
            <w:tcW w:w="1340" w:type="dxa"/>
            <w:vAlign w:val="bottom"/>
            <w:gridSpan w:val="8"/>
            <w:shd w:val="clear" w:color="auto" w:fill="CCEEFF"/>
          </w:tcPr>
          <w:p>
            <w:pPr>
              <w:jc w:val="right"/>
              <w:ind w:right="220"/>
              <w:spacing w:after="0"/>
              <w:rPr>
                <w:sz w:val="20"/>
                <w:szCs w:val="20"/>
                <w:color w:val="auto"/>
              </w:rPr>
            </w:pPr>
            <w:r>
              <w:rPr>
                <w:rFonts w:ascii="Arial" w:cs="Arial" w:eastAsia="Arial" w:hAnsi="Arial"/>
                <w:sz w:val="18"/>
                <w:szCs w:val="18"/>
                <w:color w:val="auto"/>
              </w:rPr>
              <w:t>165,755</w:t>
            </w:r>
          </w:p>
        </w:tc>
        <w:tc>
          <w:tcPr>
            <w:tcW w:w="280" w:type="dxa"/>
            <w:vAlign w:val="bottom"/>
            <w:tcBorders>
              <w:right w:val="single" w:sz="8" w:color="CCEEFF"/>
            </w:tcBorders>
            <w:shd w:val="clear" w:color="auto" w:fill="CCEEFF"/>
          </w:tcPr>
          <w:p>
            <w:pPr>
              <w:spacing w:after="0"/>
              <w:rPr>
                <w:sz w:val="18"/>
                <w:szCs w:val="18"/>
                <w:color w:val="auto"/>
              </w:rPr>
            </w:pPr>
          </w:p>
        </w:tc>
        <w:tc>
          <w:tcPr>
            <w:tcW w:w="102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52,566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169,231</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40" w:type="dxa"/>
            <w:vAlign w:val="bottom"/>
          </w:tcPr>
          <w:p>
            <w:pPr>
              <w:spacing w:after="0" w:line="256" w:lineRule="exact"/>
              <w:rPr>
                <w:sz w:val="20"/>
                <w:szCs w:val="20"/>
                <w:color w:val="auto"/>
              </w:rPr>
            </w:pPr>
            <w:r>
              <w:rPr>
                <w:rFonts w:ascii="Arial" w:cs="Arial" w:eastAsia="Arial" w:hAnsi="Arial"/>
                <w:sz w:val="18"/>
                <w:szCs w:val="18"/>
                <w:color w:val="auto"/>
                <w:w w:val="98"/>
              </w:rPr>
              <w:t xml:space="preserve">Collections (S/ Millions) </w:t>
            </w:r>
            <w:r>
              <w:rPr>
                <w:rFonts w:ascii="Arial" w:cs="Arial" w:eastAsia="Arial" w:hAnsi="Arial"/>
                <w:sz w:val="29"/>
                <w:szCs w:val="29"/>
                <w:color w:val="auto"/>
                <w:w w:val="98"/>
                <w:vertAlign w:val="superscript"/>
              </w:rPr>
              <w:t>(2)</w:t>
            </w: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93"/>
              </w:rPr>
              <w:t>1,337</w:t>
            </w:r>
          </w:p>
        </w:tc>
        <w:tc>
          <w:tcPr>
            <w:tcW w:w="1340" w:type="dxa"/>
            <w:vAlign w:val="bottom"/>
            <w:gridSpan w:val="8"/>
          </w:tcPr>
          <w:p>
            <w:pPr>
              <w:jc w:val="right"/>
              <w:ind w:right="220"/>
              <w:spacing w:after="0"/>
              <w:rPr>
                <w:sz w:val="20"/>
                <w:szCs w:val="20"/>
                <w:color w:val="auto"/>
              </w:rPr>
            </w:pPr>
            <w:r>
              <w:rPr>
                <w:rFonts w:ascii="Arial" w:cs="Arial" w:eastAsia="Arial" w:hAnsi="Arial"/>
                <w:sz w:val="18"/>
                <w:szCs w:val="18"/>
                <w:color w:val="auto"/>
              </w:rPr>
              <w:t>3,716</w:t>
            </w:r>
          </w:p>
        </w:tc>
        <w:tc>
          <w:tcPr>
            <w:tcW w:w="280" w:type="dxa"/>
            <w:vAlign w:val="bottom"/>
          </w:tcPr>
          <w:p>
            <w:pPr>
              <w:spacing w:after="0"/>
              <w:rPr>
                <w:sz w:val="22"/>
                <w:szCs w:val="22"/>
                <w:color w:val="auto"/>
              </w:rPr>
            </w:pPr>
          </w:p>
        </w:tc>
        <w:tc>
          <w:tcPr>
            <w:tcW w:w="1020" w:type="dxa"/>
            <w:vAlign w:val="bottom"/>
            <w:gridSpan w:val="4"/>
          </w:tcPr>
          <w:p>
            <w:pPr>
              <w:jc w:val="right"/>
              <w:ind w:right="120"/>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967</w:t>
            </w:r>
          </w:p>
        </w:tc>
        <w:tc>
          <w:tcPr>
            <w:tcW w:w="1040" w:type="dxa"/>
            <w:vAlign w:val="bottom"/>
          </w:tcPr>
          <w:p>
            <w:pPr>
              <w:jc w:val="right"/>
              <w:spacing w:after="0"/>
              <w:rPr>
                <w:sz w:val="20"/>
                <w:szCs w:val="20"/>
                <w:color w:val="auto"/>
              </w:rPr>
            </w:pPr>
            <w:r>
              <w:rPr>
                <w:rFonts w:ascii="Arial" w:cs="Arial" w:eastAsia="Arial" w:hAnsi="Arial"/>
                <w:sz w:val="18"/>
                <w:szCs w:val="18"/>
                <w:color w:val="auto"/>
              </w:rPr>
              <w:t>2,898</w:t>
            </w:r>
          </w:p>
        </w:tc>
        <w:tc>
          <w:tcPr>
            <w:tcW w:w="220" w:type="dxa"/>
            <w:vAlign w:val="bottom"/>
          </w:tcPr>
          <w:p>
            <w:pPr>
              <w:spacing w:after="0"/>
              <w:rPr>
                <w:sz w:val="22"/>
                <w:szCs w:val="22"/>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960" w:type="dxa"/>
            <w:vAlign w:val="bottom"/>
            <w:gridSpan w:val="4"/>
            <w:shd w:val="clear" w:color="auto" w:fill="CCEEFF"/>
          </w:tcPr>
          <w:p>
            <w:pPr>
              <w:spacing w:after="0" w:line="256" w:lineRule="exact"/>
              <w:rPr>
                <w:sz w:val="20"/>
                <w:szCs w:val="20"/>
                <w:color w:val="auto"/>
              </w:rPr>
            </w:pPr>
            <w:r>
              <w:rPr>
                <w:rFonts w:ascii="Arial" w:cs="Arial" w:eastAsia="Arial" w:hAnsi="Arial"/>
                <w:sz w:val="18"/>
                <w:szCs w:val="18"/>
                <w:color w:val="auto"/>
                <w:w w:val="94"/>
              </w:rPr>
              <w:t xml:space="preserve">Voluntary contributions (S/ Millions) </w:t>
            </w:r>
            <w:r>
              <w:rPr>
                <w:rFonts w:ascii="Arial" w:cs="Arial" w:eastAsia="Arial" w:hAnsi="Arial"/>
                <w:sz w:val="29"/>
                <w:szCs w:val="29"/>
                <w:color w:val="auto"/>
                <w:w w:val="94"/>
                <w:vertAlign w:val="superscript"/>
              </w:rPr>
              <w:t>(2)</w:t>
            </w:r>
          </w:p>
        </w:tc>
        <w:tc>
          <w:tcPr>
            <w:tcW w:w="82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80" w:type="dxa"/>
            <w:vAlign w:val="bottom"/>
            <w:tcBorders>
              <w:right w:val="single" w:sz="8" w:color="CCEEFF"/>
            </w:tcBorders>
            <w:shd w:val="clear" w:color="auto" w:fill="CCEEFF"/>
          </w:tcPr>
          <w:p>
            <w:pPr>
              <w:spacing w:after="0"/>
              <w:rPr>
                <w:sz w:val="22"/>
                <w:szCs w:val="22"/>
                <w:color w:val="auto"/>
              </w:rPr>
            </w:pPr>
          </w:p>
        </w:tc>
        <w:tc>
          <w:tcPr>
            <w:tcW w:w="4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340" w:type="dxa"/>
            <w:vAlign w:val="bottom"/>
            <w:gridSpan w:val="8"/>
            <w:shd w:val="clear" w:color="auto" w:fill="CCEEFF"/>
          </w:tcPr>
          <w:p>
            <w:pPr>
              <w:jc w:val="right"/>
              <w:ind w:right="220"/>
              <w:spacing w:after="0"/>
              <w:rPr>
                <w:sz w:val="20"/>
                <w:szCs w:val="20"/>
                <w:color w:val="auto"/>
              </w:rPr>
            </w:pPr>
            <w:r>
              <w:rPr>
                <w:rFonts w:ascii="Arial" w:cs="Arial" w:eastAsia="Arial" w:hAnsi="Arial"/>
                <w:sz w:val="18"/>
                <w:szCs w:val="18"/>
                <w:color w:val="auto"/>
              </w:rPr>
              <w:t>2,032</w:t>
            </w:r>
          </w:p>
        </w:tc>
        <w:tc>
          <w:tcPr>
            <w:tcW w:w="280" w:type="dxa"/>
            <w:vAlign w:val="bottom"/>
            <w:tcBorders>
              <w:right w:val="single" w:sz="8" w:color="CCEEFF"/>
            </w:tcBorders>
            <w:shd w:val="clear" w:color="auto" w:fill="CCEEFF"/>
          </w:tcPr>
          <w:p>
            <w:pPr>
              <w:spacing w:after="0"/>
              <w:rPr>
                <w:sz w:val="22"/>
                <w:szCs w:val="22"/>
                <w:color w:val="auto"/>
              </w:rPr>
            </w:pPr>
          </w:p>
        </w:tc>
        <w:tc>
          <w:tcPr>
            <w:tcW w:w="102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49.2%</w:t>
            </w:r>
          </w:p>
        </w:tc>
        <w:tc>
          <w:tcPr>
            <w:tcW w:w="1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2,112</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 xml:space="preserve">RAM (S/ Millions) </w:t>
            </w:r>
            <w:r>
              <w:rPr>
                <w:rFonts w:ascii="Arial" w:cs="Arial" w:eastAsia="Arial" w:hAnsi="Arial"/>
                <w:sz w:val="30"/>
                <w:szCs w:val="30"/>
                <w:color w:val="auto"/>
                <w:vertAlign w:val="superscript"/>
              </w:rPr>
              <w:t>(3)</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93"/>
              </w:rPr>
              <w:t>2,933</w:t>
            </w:r>
          </w:p>
        </w:tc>
        <w:tc>
          <w:tcPr>
            <w:tcW w:w="1340" w:type="dxa"/>
            <w:vAlign w:val="bottom"/>
            <w:gridSpan w:val="8"/>
          </w:tcPr>
          <w:p>
            <w:pPr>
              <w:jc w:val="right"/>
              <w:ind w:right="220"/>
              <w:spacing w:after="0"/>
              <w:rPr>
                <w:sz w:val="20"/>
                <w:szCs w:val="20"/>
                <w:color w:val="auto"/>
              </w:rPr>
            </w:pPr>
            <w:r>
              <w:rPr>
                <w:rFonts w:ascii="Arial" w:cs="Arial" w:eastAsia="Arial" w:hAnsi="Arial"/>
                <w:sz w:val="18"/>
                <w:szCs w:val="18"/>
                <w:color w:val="auto"/>
              </w:rPr>
              <w:t>7,772</w:t>
            </w:r>
          </w:p>
        </w:tc>
        <w:tc>
          <w:tcPr>
            <w:tcW w:w="280" w:type="dxa"/>
            <w:vAlign w:val="bottom"/>
          </w:tcPr>
          <w:p>
            <w:pPr>
              <w:spacing w:after="0"/>
              <w:rPr>
                <w:sz w:val="24"/>
                <w:szCs w:val="24"/>
                <w:color w:val="auto"/>
              </w:rPr>
            </w:pPr>
          </w:p>
        </w:tc>
        <w:tc>
          <w:tcPr>
            <w:tcW w:w="1020" w:type="dxa"/>
            <w:vAlign w:val="bottom"/>
            <w:gridSpan w:val="4"/>
          </w:tcPr>
          <w:p>
            <w:pPr>
              <w:jc w:val="right"/>
              <w:ind w:right="120"/>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2,847</w:t>
            </w:r>
          </w:p>
        </w:tc>
        <w:tc>
          <w:tcPr>
            <w:tcW w:w="1040" w:type="dxa"/>
            <w:vAlign w:val="bottom"/>
          </w:tcPr>
          <w:p>
            <w:pPr>
              <w:jc w:val="right"/>
              <w:spacing w:after="0"/>
              <w:rPr>
                <w:sz w:val="20"/>
                <w:szCs w:val="20"/>
                <w:color w:val="auto"/>
              </w:rPr>
            </w:pPr>
            <w:r>
              <w:rPr>
                <w:rFonts w:ascii="Arial" w:cs="Arial" w:eastAsia="Arial" w:hAnsi="Arial"/>
                <w:sz w:val="18"/>
                <w:szCs w:val="18"/>
                <w:color w:val="auto"/>
              </w:rPr>
              <w:t>7,478</w:t>
            </w:r>
          </w:p>
        </w:tc>
        <w:tc>
          <w:tcPr>
            <w:tcW w:w="22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SBS</w:t>
      </w:r>
    </w:p>
    <w:p>
      <w:pPr>
        <w:spacing w:after="0" w:line="225" w:lineRule="exact"/>
        <w:rPr>
          <w:sz w:val="20"/>
          <w:szCs w:val="20"/>
          <w:color w:val="auto"/>
        </w:rPr>
      </w:pPr>
    </w:p>
    <w:p>
      <w:pPr>
        <w:ind w:left="260" w:hanging="252"/>
        <w:spacing w:after="0"/>
        <w:tabs>
          <w:tab w:leader="none" w:pos="2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As of June 2019, another AFP has the exclusivity of affiliations. August information not available on SBS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Information available to august 2019.</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Prima AFP estimate: Average of aggregated income during the last 4 months, excluding special collections and voluntary contribution fees.</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6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11.9. Table of calculations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154940</wp:posOffset>
            </wp:positionV>
            <wp:extent cx="5676900" cy="63119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676900" cy="6311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60" w:hanging="252"/>
        <w:spacing w:after="0"/>
        <w:tabs>
          <w:tab w:leader="none" w:pos="2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Includes total deposits, due to banks and correspondents, BCRP instruments, repurchase agreements and bonds and notes issued.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Does not include Life insurance business.</w:t>
      </w:r>
    </w:p>
    <w:p>
      <w:pPr>
        <w:spacing w:after="0" w:line="9" w:lineRule="exact"/>
        <w:rPr>
          <w:rFonts w:ascii="Arial" w:cs="Arial" w:eastAsia="Arial" w:hAnsi="Arial"/>
          <w:sz w:val="18"/>
          <w:szCs w:val="18"/>
          <w:color w:val="auto"/>
        </w:rPr>
      </w:pPr>
    </w:p>
    <w:p>
      <w:pPr>
        <w:jc w:val="both"/>
        <w:ind w:right="20" w:firstLine="8"/>
        <w:spacing w:after="0" w:line="265" w:lineRule="auto"/>
        <w:tabs>
          <w:tab w:leader="none" w:pos="268" w:val="left"/>
        </w:tabs>
        <w:numPr>
          <w:ilvl w:val="0"/>
          <w:numId w:val="93"/>
        </w:numPr>
        <w:rPr>
          <w:rFonts w:ascii="Arial" w:cs="Arial" w:eastAsia="Arial" w:hAnsi="Arial"/>
          <w:sz w:val="17"/>
          <w:szCs w:val="17"/>
          <w:color w:val="auto"/>
        </w:rPr>
      </w:pPr>
      <w:r>
        <w:rPr>
          <w:rFonts w:ascii="Arial" w:cs="Arial" w:eastAsia="Arial" w:hAnsi="Arial"/>
          <w:sz w:val="17"/>
          <w:szCs w:val="17"/>
          <w:color w:val="auto"/>
        </w:rPr>
        <w:t>Tier 1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left="260" w:hanging="252"/>
        <w:spacing w:after="0"/>
        <w:tabs>
          <w:tab w:leader="none" w:pos="2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Includes investment in subsidiaries, goodwill, intangibles and deferred tax that rely on future profitability.</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1)"/>
      <w:numFmt w:val="decimal"/>
      <w:start w:val="1"/>
    </w:lvl>
  </w:abstractNum>
  <w:abstractNum w:abstractNumId="2">
    <w:nsid w:val="7644A45C"/>
    <w:multiLevelType w:val="hybridMultilevel"/>
    <w:lvl w:ilvl="0">
      <w:lvlJc w:val="left"/>
      <w:lvlText w:val="(%1)"/>
      <w:numFmt w:val="decimal"/>
      <w:start w:val="1"/>
    </w:lvl>
  </w:abstractNum>
  <w:abstractNum w:abstractNumId="3">
    <w:nsid w:val="32FFF902"/>
    <w:multiLevelType w:val="hybridMultilevel"/>
    <w:lvl w:ilvl="0">
      <w:lvlJc w:val="left"/>
      <w:lvlText w:val="(%1)"/>
      <w:numFmt w:val="decimal"/>
      <w:start w:val="1"/>
    </w:lvl>
  </w:abstractNum>
  <w:abstractNum w:abstractNumId="4">
    <w:nsid w:val="684A481A"/>
    <w:multiLevelType w:val="hybridMultilevel"/>
    <w:lvl w:ilvl="0">
      <w:lvlJc w:val="left"/>
      <w:lvlText w:val="(%1)"/>
      <w:numFmt w:val="decimal"/>
      <w:start w:val="1"/>
    </w:lvl>
  </w:abstractNum>
  <w:abstractNum w:abstractNumId="5">
    <w:nsid w:val="579478FE"/>
    <w:multiLevelType w:val="hybridMultilevel"/>
    <w:lvl w:ilvl="0">
      <w:lvlJc w:val="left"/>
      <w:lvlText w:val="(%1)"/>
      <w:numFmt w:val="decimal"/>
      <w:start w:val="1"/>
    </w:lvl>
  </w:abstractNum>
  <w:abstractNum w:abstractNumId="6">
    <w:nsid w:val="749ABB43"/>
    <w:multiLevelType w:val="hybridMultilevel"/>
    <w:lvl w:ilvl="0">
      <w:lvlJc w:val="left"/>
      <w:lvlText w:val="(%1)"/>
      <w:numFmt w:val="lowerRoman"/>
      <w:start w:val="1"/>
    </w:lvl>
  </w:abstractNum>
  <w:abstractNum w:abstractNumId="7">
    <w:nsid w:val="3DC240FB"/>
    <w:multiLevelType w:val="hybridMultilevel"/>
    <w:lvl w:ilvl="0">
      <w:lvlJc w:val="left"/>
      <w:lvlText w:val="(%1)"/>
      <w:numFmt w:val="lowerRoman"/>
      <w:start w:val="1"/>
    </w:lvl>
  </w:abstractNum>
  <w:abstractNum w:abstractNumId="8">
    <w:nsid w:val="1BA026FA"/>
    <w:multiLevelType w:val="hybridMultilevel"/>
    <w:lvl w:ilvl="0">
      <w:lvlJc w:val="left"/>
      <w:lvlText w:val="(%1)"/>
      <w:numFmt w:val="lowerRoman"/>
      <w:start w:val="1"/>
    </w:lvl>
  </w:abstractNum>
  <w:abstractNum w:abstractNumId="9">
    <w:nsid w:val="79A1DEAA"/>
    <w:multiLevelType w:val="hybridMultilevel"/>
    <w:lvl w:ilvl="0">
      <w:lvlJc w:val="left"/>
      <w:lvlText w:val="(%1)"/>
      <w:numFmt w:val="lowerRoman"/>
      <w:start w:val="1"/>
    </w:lvl>
  </w:abstractNum>
  <w:abstractNum w:abstractNumId="10">
    <w:nsid w:val="75C6C33A"/>
    <w:multiLevelType w:val="hybridMultilevel"/>
    <w:lvl w:ilvl="0">
      <w:lvlJc w:val="left"/>
      <w:lvlText w:val="(%1)"/>
      <w:numFmt w:val="decimal"/>
      <w:start w:val="1"/>
    </w:lvl>
  </w:abstractNum>
  <w:abstractNum w:abstractNumId="11">
    <w:nsid w:val="12E685FB"/>
    <w:multiLevelType w:val="hybridMultilevel"/>
    <w:lvl w:ilvl="0">
      <w:lvlJc w:val="left"/>
      <w:lvlText w:val="(%1)"/>
      <w:numFmt w:val="lowerRoman"/>
      <w:start w:val="1"/>
    </w:lvl>
  </w:abstractNum>
  <w:abstractNum w:abstractNumId="12">
    <w:nsid w:val="70C6A529"/>
    <w:multiLevelType w:val="hybridMultilevel"/>
    <w:lvl w:ilvl="0">
      <w:lvlJc w:val="left"/>
      <w:lvlText w:val="(%1)"/>
      <w:numFmt w:val="lowerRoman"/>
      <w:start w:val="2"/>
    </w:lvl>
  </w:abstractNum>
  <w:abstractNum w:abstractNumId="13">
    <w:nsid w:val="520EEDD1"/>
    <w:multiLevelType w:val="hybridMultilevel"/>
    <w:lvl w:ilvl="0">
      <w:lvlJc w:val="left"/>
      <w:lvlText w:val="(%1)"/>
      <w:numFmt w:val="decimal"/>
      <w:start w:val="1"/>
    </w:lvl>
  </w:abstractNum>
  <w:abstractNum w:abstractNumId="14">
    <w:nsid w:val="374A3FE6"/>
    <w:multiLevelType w:val="hybridMultilevel"/>
    <w:lvl w:ilvl="0">
      <w:lvlJc w:val="left"/>
      <w:lvlText w:val="(%1)"/>
      <w:numFmt w:val="lowerRoman"/>
      <w:start w:val="1"/>
    </w:lvl>
  </w:abstractNum>
  <w:abstractNum w:abstractNumId="15">
    <w:nsid w:val="4F4EF005"/>
    <w:multiLevelType w:val="hybridMultilevel"/>
    <w:lvl w:ilvl="0">
      <w:lvlJc w:val="left"/>
      <w:lvlText w:val="(%1)"/>
      <w:numFmt w:val="lowerRoman"/>
      <w:start w:val="3"/>
    </w:lvl>
  </w:abstractNum>
  <w:abstractNum w:abstractNumId="16">
    <w:nsid w:val="23F9C13C"/>
    <w:multiLevelType w:val="hybridMultilevel"/>
    <w:lvl w:ilvl="0">
      <w:lvlJc w:val="left"/>
      <w:lvlText w:val="(%1)"/>
      <w:numFmt w:val="lowerRoman"/>
      <w:start w:val="1"/>
    </w:lvl>
  </w:abstractNum>
  <w:abstractNum w:abstractNumId="17">
    <w:nsid w:val="649BB77C"/>
    <w:multiLevelType w:val="hybridMultilevel"/>
    <w:lvl w:ilvl="0">
      <w:lvlJc w:val="left"/>
      <w:lvlText w:val="(%1)"/>
      <w:numFmt w:val="lowerRoman"/>
      <w:start w:val="1"/>
    </w:lvl>
  </w:abstractNum>
  <w:abstractNum w:abstractNumId="18">
    <w:nsid w:val="275AC794"/>
    <w:multiLevelType w:val="hybridMultilevel"/>
    <w:lvl w:ilvl="0">
      <w:lvlJc w:val="left"/>
      <w:lvlText w:val="%1"/>
      <w:numFmt w:val="lowerRoman"/>
      <w:start w:val="1"/>
    </w:lvl>
    <w:lvl w:ilvl="1">
      <w:lvlJc w:val="left"/>
      <w:lvlText w:val="(%2)"/>
      <w:numFmt w:val="decimal"/>
      <w:start w:val="1"/>
    </w:lvl>
  </w:abstractNum>
  <w:abstractNum w:abstractNumId="19">
    <w:nsid w:val="39386575"/>
    <w:multiLevelType w:val="hybridMultilevel"/>
    <w:lvl w:ilvl="0">
      <w:lvlJc w:val="left"/>
      <w:lvlText w:val="(%1)"/>
      <w:numFmt w:val="lowerRoman"/>
      <w:start w:val="1"/>
    </w:lvl>
    <w:lvl w:ilvl="1">
      <w:lvlJc w:val="left"/>
      <w:lvlText w:val="%2"/>
      <w:numFmt w:val="decimal"/>
      <w:start w:val="1"/>
    </w:lvl>
  </w:abstractNum>
  <w:abstractNum w:abstractNumId="20">
    <w:nsid w:val="1CF10FD8"/>
    <w:multiLevelType w:val="hybridMultilevel"/>
    <w:lvl w:ilvl="0">
      <w:lvlJc w:val="left"/>
      <w:lvlText w:val="(%1)"/>
      <w:numFmt w:val="lowerRoman"/>
      <w:start w:val="3"/>
    </w:lvl>
  </w:abstractNum>
  <w:abstractNum w:abstractNumId="21">
    <w:nsid w:val="180115BE"/>
    <w:multiLevelType w:val="hybridMultilevel"/>
    <w:lvl w:ilvl="0">
      <w:lvlJc w:val="left"/>
      <w:lvlText w:val="(%1)"/>
      <w:numFmt w:val="lowerRoman"/>
      <w:start w:val="1"/>
    </w:lvl>
  </w:abstractNum>
  <w:abstractNum w:abstractNumId="22">
    <w:nsid w:val="235BA861"/>
    <w:multiLevelType w:val="hybridMultilevel"/>
    <w:lvl w:ilvl="0">
      <w:lvlJc w:val="left"/>
      <w:lvlText w:val="(%1)"/>
      <w:numFmt w:val="lowerRoman"/>
      <w:start w:val="1"/>
    </w:lvl>
  </w:abstractNum>
  <w:abstractNum w:abstractNumId="23">
    <w:nsid w:val="47398C89"/>
    <w:multiLevelType w:val="hybridMultilevel"/>
    <w:lvl w:ilvl="0">
      <w:lvlJc w:val="left"/>
      <w:lvlText w:val="(%1)"/>
      <w:numFmt w:val="lowerRoman"/>
      <w:start w:val="1"/>
    </w:lvl>
  </w:abstractNum>
  <w:abstractNum w:abstractNumId="24">
    <w:nsid w:val="354FE9F9"/>
    <w:multiLevelType w:val="hybridMultilevel"/>
    <w:lvl w:ilvl="0">
      <w:lvlJc w:val="left"/>
      <w:lvlText w:val="(%1)"/>
      <w:numFmt w:val="decimal"/>
      <w:start w:val="1"/>
    </w:lvl>
  </w:abstractNum>
  <w:abstractNum w:abstractNumId="25">
    <w:nsid w:val="15B5AF5C"/>
    <w:multiLevelType w:val="hybridMultilevel"/>
    <w:lvl w:ilvl="0">
      <w:lvlJc w:val="left"/>
      <w:lvlText w:val="(%1)"/>
      <w:numFmt w:val="lowerRoman"/>
      <w:start w:val="1"/>
    </w:lvl>
  </w:abstractNum>
  <w:abstractNum w:abstractNumId="26">
    <w:nsid w:val="741226BB"/>
    <w:multiLevelType w:val="hybridMultilevel"/>
    <w:lvl w:ilvl="0">
      <w:lvlJc w:val="left"/>
      <w:lvlText w:val="(%1)"/>
      <w:numFmt w:val="lowerRoman"/>
      <w:start w:val="1"/>
    </w:lvl>
  </w:abstractNum>
  <w:abstractNum w:abstractNumId="27">
    <w:nsid w:val="D34B6A8"/>
    <w:multiLevelType w:val="hybridMultilevel"/>
    <w:lvl w:ilvl="0">
      <w:lvlJc w:val="left"/>
      <w:lvlText w:val="(%1)"/>
      <w:numFmt w:val="lowerRoman"/>
      <w:start w:val="2"/>
    </w:lvl>
  </w:abstractNum>
  <w:abstractNum w:abstractNumId="28">
    <w:nsid w:val="10233C99"/>
    <w:multiLevelType w:val="hybridMultilevel"/>
    <w:lvl w:ilvl="0">
      <w:lvlJc w:val="left"/>
      <w:lvlText w:val="(%1)"/>
      <w:numFmt w:val="decimal"/>
      <w:start w:val="1"/>
    </w:lvl>
  </w:abstractNum>
  <w:abstractNum w:abstractNumId="29">
    <w:nsid w:val="3F6AB60F"/>
    <w:multiLevelType w:val="hybridMultilevel"/>
    <w:lvl w:ilvl="0">
      <w:lvlJc w:val="left"/>
      <w:lvlText w:val="(%1)"/>
      <w:numFmt w:val="lowerRoman"/>
      <w:start w:val="1"/>
    </w:lvl>
  </w:abstractNum>
  <w:abstractNum w:abstractNumId="30">
    <w:nsid w:val="61574095"/>
    <w:multiLevelType w:val="hybridMultilevel"/>
    <w:lvl w:ilvl="0">
      <w:lvlJc w:val="left"/>
      <w:lvlText w:val="(%1)"/>
      <w:numFmt w:val="lowerRoman"/>
      <w:start w:val="2"/>
    </w:lvl>
  </w:abstractNum>
  <w:abstractNum w:abstractNumId="31">
    <w:nsid w:val="7E0C57B1"/>
    <w:multiLevelType w:val="hybridMultilevel"/>
    <w:lvl w:ilvl="0">
      <w:lvlJc w:val="left"/>
      <w:lvlText w:val="(%1)"/>
      <w:numFmt w:val="lowerRoman"/>
      <w:start w:val="3"/>
    </w:lvl>
  </w:abstractNum>
  <w:abstractNum w:abstractNumId="32">
    <w:nsid w:val="77AE35EB"/>
    <w:multiLevelType w:val="hybridMultilevel"/>
    <w:lvl w:ilvl="0">
      <w:lvlJc w:val="left"/>
      <w:lvlText w:val="(%1)"/>
      <w:numFmt w:val="lowerRoman"/>
      <w:start w:val="4"/>
    </w:lvl>
  </w:abstractNum>
  <w:abstractNum w:abstractNumId="33">
    <w:nsid w:val="579BE4F1"/>
    <w:multiLevelType w:val="hybridMultilevel"/>
    <w:lvl w:ilvl="0">
      <w:lvlJc w:val="left"/>
      <w:lvlText w:val="(%1)"/>
      <w:numFmt w:val="lowerRoman"/>
      <w:start w:val="5"/>
    </w:lvl>
  </w:abstractNum>
  <w:abstractNum w:abstractNumId="34">
    <w:nsid w:val="310C50B3"/>
    <w:multiLevelType w:val="hybridMultilevel"/>
    <w:lvl w:ilvl="0">
      <w:lvlJc w:val="left"/>
      <w:lvlText w:val="(%1)"/>
      <w:numFmt w:val="lowerRoman"/>
      <w:start w:val="6"/>
    </w:lvl>
  </w:abstractNum>
  <w:abstractNum w:abstractNumId="35">
    <w:nsid w:val="5FF87E05"/>
    <w:multiLevelType w:val="hybridMultilevel"/>
    <w:lvl w:ilvl="0">
      <w:lvlJc w:val="left"/>
      <w:lvlText w:val="(%1)"/>
      <w:numFmt w:val="lowerRoman"/>
      <w:start w:val="7"/>
    </w:lvl>
  </w:abstractNum>
  <w:abstractNum w:abstractNumId="36">
    <w:nsid w:val="2F305DEF"/>
    <w:multiLevelType w:val="hybridMultilevel"/>
    <w:lvl w:ilvl="0">
      <w:lvlJc w:val="left"/>
      <w:lvlText w:val="(%1)"/>
      <w:numFmt w:val="lowerRoman"/>
      <w:start w:val="8"/>
    </w:lvl>
  </w:abstractNum>
  <w:abstractNum w:abstractNumId="37">
    <w:nsid w:val="25A70BF7"/>
    <w:multiLevelType w:val="hybridMultilevel"/>
    <w:lvl w:ilvl="0">
      <w:lvlJc w:val="left"/>
      <w:lvlText w:val="(%1)"/>
      <w:numFmt w:val="decimal"/>
      <w:start w:val="1"/>
    </w:lvl>
  </w:abstractNum>
  <w:abstractNum w:abstractNumId="38">
    <w:nsid w:val="1DBABF00"/>
    <w:multiLevelType w:val="hybridMultilevel"/>
    <w:lvl w:ilvl="0">
      <w:lvlJc w:val="left"/>
      <w:lvlText w:val="(%1)"/>
      <w:numFmt w:val="lowerRoman"/>
      <w:start w:val="1"/>
    </w:lvl>
  </w:abstractNum>
  <w:abstractNum w:abstractNumId="39">
    <w:nsid w:val="4AD084E9"/>
    <w:multiLevelType w:val="hybridMultilevel"/>
    <w:lvl w:ilvl="0">
      <w:lvlJc w:val="left"/>
      <w:lvlText w:val="(%1)"/>
      <w:numFmt w:val="lowerRoman"/>
      <w:start w:val="3"/>
    </w:lvl>
  </w:abstractNum>
  <w:abstractNum w:abstractNumId="40">
    <w:nsid w:val="1F48EAA1"/>
    <w:multiLevelType w:val="hybridMultilevel"/>
    <w:lvl w:ilvl="0">
      <w:lvlJc w:val="left"/>
      <w:lvlText w:val="(%1)"/>
      <w:numFmt w:val="lowerRoman"/>
      <w:start w:val="1"/>
    </w:lvl>
  </w:abstractNum>
  <w:abstractNum w:abstractNumId="41">
    <w:nsid w:val="1381823A"/>
    <w:multiLevelType w:val="hybridMultilevel"/>
    <w:lvl w:ilvl="0">
      <w:lvlJc w:val="left"/>
      <w:lvlText w:val="(%1)"/>
      <w:numFmt w:val="lowerRoman"/>
      <w:start w:val="1"/>
    </w:lvl>
  </w:abstractNum>
  <w:abstractNum w:abstractNumId="42">
    <w:nsid w:val="5DB70AE5"/>
    <w:multiLevelType w:val="hybridMultilevel"/>
    <w:lvl w:ilvl="0">
      <w:lvlJc w:val="left"/>
      <w:lvlText w:val="(%1)"/>
      <w:numFmt w:val="lowerRoman"/>
      <w:start w:val="1"/>
    </w:lvl>
  </w:abstractNum>
  <w:abstractNum w:abstractNumId="43">
    <w:nsid w:val="100F8FCA"/>
    <w:multiLevelType w:val="hybridMultilevel"/>
    <w:lvl w:ilvl="0">
      <w:lvlJc w:val="left"/>
      <w:lvlText w:val="(%1)"/>
      <w:numFmt w:val="lowerRoman"/>
      <w:start w:val="1"/>
    </w:lvl>
  </w:abstractNum>
  <w:abstractNum w:abstractNumId="44">
    <w:nsid w:val="6590700B"/>
    <w:multiLevelType w:val="hybridMultilevel"/>
    <w:lvl w:ilvl="0">
      <w:lvlJc w:val="left"/>
      <w:lvlText w:val="(%1)"/>
      <w:numFmt w:val="decimal"/>
      <w:start w:val="1"/>
    </w:lvl>
  </w:abstractNum>
  <w:abstractNum w:abstractNumId="45">
    <w:nsid w:val="15014ACB"/>
    <w:multiLevelType w:val="hybridMultilevel"/>
    <w:lvl w:ilvl="0">
      <w:lvlJc w:val="left"/>
      <w:lvlText w:val="(%1)"/>
      <w:numFmt w:val="lowerRoman"/>
      <w:start w:val="1"/>
    </w:lvl>
  </w:abstractNum>
  <w:abstractNum w:abstractNumId="46">
    <w:nsid w:val="5F5E7FD0"/>
    <w:multiLevelType w:val="hybridMultilevel"/>
    <w:lvl w:ilvl="0">
      <w:lvlJc w:val="left"/>
      <w:lvlText w:val="(%1)"/>
      <w:numFmt w:val="decimal"/>
      <w:start w:val="1"/>
    </w:lvl>
  </w:abstractNum>
  <w:abstractNum w:abstractNumId="47">
    <w:nsid w:val="98A3148"/>
    <w:multiLevelType w:val="hybridMultilevel"/>
    <w:lvl w:ilvl="0">
      <w:lvlJc w:val="left"/>
      <w:lvlText w:val="(%1)"/>
      <w:numFmt w:val="decimal"/>
      <w:start w:val="3"/>
    </w:lvl>
  </w:abstractNum>
  <w:abstractNum w:abstractNumId="48">
    <w:nsid w:val="799D0247"/>
    <w:multiLevelType w:val="hybridMultilevel"/>
    <w:lvl w:ilvl="0">
      <w:lvlJc w:val="left"/>
      <w:lvlText w:val="(%1)"/>
      <w:numFmt w:val="decimal"/>
      <w:start w:val="1"/>
    </w:lvl>
  </w:abstractNum>
  <w:abstractNum w:abstractNumId="49">
    <w:nsid w:val="6B94764"/>
    <w:multiLevelType w:val="hybridMultilevel"/>
    <w:lvl w:ilvl="0">
      <w:lvlJc w:val="left"/>
      <w:lvlText w:val="(%1)"/>
      <w:numFmt w:val="lowerRoman"/>
      <w:start w:val="1"/>
    </w:lvl>
  </w:abstractNum>
  <w:abstractNum w:abstractNumId="50">
    <w:nsid w:val="42C296BD"/>
    <w:multiLevelType w:val="hybridMultilevel"/>
    <w:lvl w:ilvl="0">
      <w:lvlJc w:val="left"/>
      <w:lvlText w:val="(%1)"/>
      <w:numFmt w:val="lowerRoman"/>
      <w:start w:val="1"/>
    </w:lvl>
  </w:abstractNum>
  <w:abstractNum w:abstractNumId="51">
    <w:nsid w:val="168E121F"/>
    <w:multiLevelType w:val="hybridMultilevel"/>
    <w:lvl w:ilvl="0">
      <w:lvlJc w:val="left"/>
      <w:lvlText w:val="(%1)"/>
      <w:numFmt w:val="lowerRoman"/>
      <w:start w:val="1"/>
    </w:lvl>
  </w:abstractNum>
  <w:abstractNum w:abstractNumId="52">
    <w:nsid w:val="1EBA5D23"/>
    <w:multiLevelType w:val="hybridMultilevel"/>
    <w:lvl w:ilvl="0">
      <w:lvlJc w:val="left"/>
      <w:lvlText w:val="(%1)"/>
      <w:numFmt w:val="lowerRoman"/>
      <w:start w:val="3"/>
    </w:lvl>
  </w:abstractNum>
  <w:abstractNum w:abstractNumId="53">
    <w:nsid w:val="661E3F1E"/>
    <w:multiLevelType w:val="hybridMultilevel"/>
    <w:lvl w:ilvl="0">
      <w:lvlJc w:val="left"/>
      <w:lvlText w:val="(%1)"/>
      <w:numFmt w:val="lowerRoman"/>
      <w:start w:val="1"/>
    </w:lvl>
  </w:abstractNum>
  <w:abstractNum w:abstractNumId="54">
    <w:nsid w:val="5DC79EA8"/>
    <w:multiLevelType w:val="hybridMultilevel"/>
    <w:lvl w:ilvl="0">
      <w:lvlJc w:val="left"/>
      <w:lvlText w:val="(%1)"/>
      <w:numFmt w:val="lowerRoman"/>
      <w:start w:val="1"/>
    </w:lvl>
  </w:abstractNum>
  <w:abstractNum w:abstractNumId="55">
    <w:nsid w:val="540A471C"/>
    <w:multiLevelType w:val="hybridMultilevel"/>
    <w:lvl w:ilvl="0">
      <w:lvlJc w:val="left"/>
      <w:lvlText w:val="(%1)"/>
      <w:numFmt w:val="lowerRoman"/>
      <w:start w:val="1"/>
    </w:lvl>
  </w:abstractNum>
  <w:abstractNum w:abstractNumId="56">
    <w:nsid w:val="7BD3EE7B"/>
    <w:multiLevelType w:val="hybridMultilevel"/>
    <w:lvl w:ilvl="0">
      <w:lvlJc w:val="left"/>
      <w:lvlText w:val="(%1)"/>
      <w:numFmt w:val="decimal"/>
      <w:start w:val="1"/>
    </w:lvl>
  </w:abstractNum>
  <w:abstractNum w:abstractNumId="57">
    <w:nsid w:val="51D9C564"/>
    <w:multiLevelType w:val="hybridMultilevel"/>
    <w:lvl w:ilvl="0">
      <w:lvlJc w:val="left"/>
      <w:lvlText w:val="(%1)"/>
      <w:numFmt w:val="lowerRoman"/>
      <w:start w:val="1"/>
    </w:lvl>
  </w:abstractNum>
  <w:abstractNum w:abstractNumId="58">
    <w:nsid w:val="613EFDC5"/>
    <w:multiLevelType w:val="hybridMultilevel"/>
    <w:lvl w:ilvl="0">
      <w:lvlJc w:val="left"/>
      <w:lvlText w:val="(%1)"/>
      <w:numFmt w:val="lowerRoman"/>
      <w:start w:val="2"/>
    </w:lvl>
  </w:abstractNum>
  <w:abstractNum w:abstractNumId="59">
    <w:nsid w:val="BF72B14"/>
    <w:multiLevelType w:val="hybridMultilevel"/>
    <w:lvl w:ilvl="0">
      <w:lvlJc w:val="left"/>
      <w:lvlText w:val="(%1)"/>
      <w:numFmt w:val="lowerRoman"/>
      <w:start w:val="1"/>
    </w:lvl>
  </w:abstractNum>
  <w:abstractNum w:abstractNumId="60">
    <w:nsid w:val="11447B73"/>
    <w:multiLevelType w:val="hybridMultilevel"/>
    <w:lvl w:ilvl="0">
      <w:lvlJc w:val="left"/>
      <w:lvlText w:val="(%1)"/>
      <w:numFmt w:val="lowerRoman"/>
      <w:start w:val="1"/>
    </w:lvl>
  </w:abstractNum>
  <w:abstractNum w:abstractNumId="61">
    <w:nsid w:val="42963E5A"/>
    <w:multiLevelType w:val="hybridMultilevel"/>
    <w:lvl w:ilvl="0">
      <w:lvlJc w:val="left"/>
      <w:lvlText w:val="(%1)"/>
      <w:numFmt w:val="lowerRoman"/>
      <w:start w:val="1"/>
    </w:lvl>
  </w:abstractNum>
  <w:abstractNum w:abstractNumId="62">
    <w:nsid w:val="A0382C5"/>
    <w:multiLevelType w:val="hybridMultilevel"/>
    <w:lvl w:ilvl="0">
      <w:lvlJc w:val="left"/>
      <w:lvlText w:val="4"/>
      <w:numFmt w:val="bullet"/>
      <w:start w:val="1"/>
    </w:lvl>
  </w:abstractNum>
  <w:abstractNum w:abstractNumId="63">
    <w:nsid w:val="8F2B15E"/>
    <w:multiLevelType w:val="hybridMultilevel"/>
    <w:lvl w:ilvl="0">
      <w:lvlJc w:val="left"/>
      <w:lvlText w:val="(%1)"/>
      <w:numFmt w:val="decimal"/>
      <w:start w:val="1"/>
    </w:lvl>
  </w:abstractNum>
  <w:abstractNum w:abstractNumId="64">
    <w:nsid w:val="1A32234B"/>
    <w:multiLevelType w:val="hybridMultilevel"/>
    <w:lvl w:ilvl="0">
      <w:lvlJc w:val="left"/>
      <w:lvlText w:val="(%1)"/>
      <w:numFmt w:val="decimal"/>
      <w:start w:val="1"/>
    </w:lvl>
  </w:abstractNum>
  <w:abstractNum w:abstractNumId="65">
    <w:nsid w:val="3B0FD379"/>
    <w:multiLevelType w:val="hybridMultilevel"/>
    <w:lvl w:ilvl="0">
      <w:lvlJc w:val="left"/>
      <w:lvlText w:val="(%1)"/>
      <w:numFmt w:val="lowerRoman"/>
      <w:start w:val="1"/>
    </w:lvl>
  </w:abstractNum>
  <w:abstractNum w:abstractNumId="66">
    <w:nsid w:val="68EB2F63"/>
    <w:multiLevelType w:val="hybridMultilevel"/>
    <w:lvl w:ilvl="0">
      <w:lvlJc w:val="left"/>
      <w:lvlText w:val="(%1)"/>
      <w:numFmt w:val="lowerRoman"/>
      <w:start w:val="3"/>
    </w:lvl>
  </w:abstractNum>
  <w:abstractNum w:abstractNumId="67">
    <w:nsid w:val="4962813B"/>
    <w:multiLevelType w:val="hybridMultilevel"/>
    <w:lvl w:ilvl="0">
      <w:lvlJc w:val="left"/>
      <w:lvlText w:val="(%1)"/>
      <w:numFmt w:val="lowerRoman"/>
      <w:start w:val="1"/>
    </w:lvl>
  </w:abstractNum>
  <w:abstractNum w:abstractNumId="68">
    <w:nsid w:val="60B6DF70"/>
    <w:multiLevelType w:val="hybridMultilevel"/>
    <w:lvl w:ilvl="0">
      <w:lvlJc w:val="left"/>
      <w:lvlText w:val="(%1)"/>
      <w:numFmt w:val="decimal"/>
      <w:start w:val="1"/>
    </w:lvl>
  </w:abstractNum>
  <w:abstractNum w:abstractNumId="69">
    <w:nsid w:val="6A5EE64"/>
    <w:multiLevelType w:val="hybridMultilevel"/>
    <w:lvl w:ilvl="0">
      <w:lvlJc w:val="left"/>
      <w:lvlText w:val="(%1)"/>
      <w:numFmt w:val="decimal"/>
      <w:start w:val="1"/>
    </w:lvl>
  </w:abstractNum>
  <w:abstractNum w:abstractNumId="70">
    <w:nsid w:val="14330624"/>
    <w:multiLevelType w:val="hybridMultilevel"/>
    <w:lvl w:ilvl="0">
      <w:lvlJc w:val="left"/>
      <w:lvlText w:val="(%1)"/>
      <w:numFmt w:val="lowerRoman"/>
      <w:start w:val="1"/>
    </w:lvl>
  </w:abstractNum>
  <w:abstractNum w:abstractNumId="71">
    <w:nsid w:val="7FFFCA11"/>
    <w:multiLevelType w:val="hybridMultilevel"/>
    <w:lvl w:ilvl="0">
      <w:lvlJc w:val="left"/>
      <w:lvlText w:val="(%1)"/>
      <w:numFmt w:val="decimal"/>
      <w:start w:val="1"/>
    </w:lvl>
  </w:abstractNum>
  <w:abstractNum w:abstractNumId="72">
    <w:nsid w:val="1A27709E"/>
    <w:multiLevelType w:val="hybridMultilevel"/>
    <w:lvl w:ilvl="0">
      <w:lvlJc w:val="left"/>
      <w:lvlText w:val="(%1)"/>
      <w:numFmt w:val="decimal"/>
      <w:start w:val="1"/>
    </w:lvl>
  </w:abstractNum>
  <w:abstractNum w:abstractNumId="73">
    <w:nsid w:val="71EA1109"/>
    <w:multiLevelType w:val="hybridMultilevel"/>
    <w:lvl w:ilvl="0">
      <w:lvlJc w:val="left"/>
      <w:lvlText w:val="(%1)"/>
      <w:numFmt w:val="lowerRoman"/>
      <w:start w:val="1"/>
    </w:lvl>
  </w:abstractNum>
  <w:abstractNum w:abstractNumId="74">
    <w:nsid w:val="100F59DC"/>
    <w:multiLevelType w:val="hybridMultilevel"/>
    <w:lvl w:ilvl="0">
      <w:lvlJc w:val="left"/>
      <w:lvlText w:val="(%1)"/>
      <w:numFmt w:val="decimal"/>
      <w:start w:val="1"/>
    </w:lvl>
  </w:abstractNum>
  <w:abstractNum w:abstractNumId="75">
    <w:nsid w:val="7FB7E0AA"/>
    <w:multiLevelType w:val="hybridMultilevel"/>
    <w:lvl w:ilvl="0">
      <w:lvlJc w:val="left"/>
      <w:lvlText w:val="(%1)"/>
      <w:numFmt w:val="decimal"/>
      <w:start w:val="1"/>
    </w:lvl>
  </w:abstractNum>
  <w:abstractNum w:abstractNumId="76">
    <w:nsid w:val="6EB5BD4"/>
    <w:multiLevelType w:val="hybridMultilevel"/>
    <w:lvl w:ilvl="0">
      <w:lvlJc w:val="left"/>
      <w:lvlText w:val="(%1)"/>
      <w:numFmt w:val="decimal"/>
      <w:start w:val="1"/>
    </w:lvl>
  </w:abstractNum>
  <w:abstractNum w:abstractNumId="77">
    <w:nsid w:val="6F6DD9AC"/>
    <w:multiLevelType w:val="hybridMultilevel"/>
    <w:lvl w:ilvl="0">
      <w:lvlJc w:val="left"/>
      <w:lvlText w:val="(%1)"/>
      <w:numFmt w:val="lowerRoman"/>
      <w:start w:val="1"/>
    </w:lvl>
  </w:abstractNum>
  <w:abstractNum w:abstractNumId="78">
    <w:nsid w:val="94211F2"/>
    <w:multiLevelType w:val="hybridMultilevel"/>
    <w:lvl w:ilvl="0">
      <w:lvlJc w:val="left"/>
      <w:lvlText w:val="(%1)"/>
      <w:numFmt w:val="decimal"/>
      <w:start w:val="1"/>
    </w:lvl>
  </w:abstractNum>
  <w:abstractNum w:abstractNumId="79">
    <w:nsid w:val="885E1B"/>
    <w:multiLevelType w:val="hybridMultilevel"/>
    <w:lvl w:ilvl="0">
      <w:lvlJc w:val="left"/>
      <w:lvlText w:val="(%1)"/>
      <w:numFmt w:val="decimal"/>
      <w:start w:val="1"/>
    </w:lvl>
  </w:abstractNum>
  <w:abstractNum w:abstractNumId="80">
    <w:nsid w:val="76272110"/>
    <w:multiLevelType w:val="hybridMultilevel"/>
    <w:lvl w:ilvl="0">
      <w:lvlJc w:val="left"/>
      <w:lvlText w:val="%1."/>
      <w:numFmt w:val="decimal"/>
      <w:start w:val="11"/>
    </w:lvl>
  </w:abstractNum>
  <w:abstractNum w:abstractNumId="81">
    <w:nsid w:val="4C04A8AF"/>
    <w:multiLevelType w:val="hybridMultilevel"/>
    <w:lvl w:ilvl="0">
      <w:lvlJc w:val="left"/>
      <w:lvlText w:val="11.%1."/>
      <w:numFmt w:val="decimal"/>
      <w:start w:val="1"/>
    </w:lvl>
  </w:abstractNum>
  <w:abstractNum w:abstractNumId="82">
    <w:nsid w:val="1716703B"/>
    <w:multiLevelType w:val="hybridMultilevel"/>
    <w:lvl w:ilvl="0">
      <w:lvlJc w:val="left"/>
      <w:lvlText w:val="(%1)"/>
      <w:numFmt w:val="decimal"/>
      <w:start w:val="1"/>
    </w:lvl>
  </w:abstractNum>
  <w:abstractNum w:abstractNumId="83">
    <w:nsid w:val="14E17E33"/>
    <w:multiLevelType w:val="hybridMultilevel"/>
    <w:lvl w:ilvl="0">
      <w:lvlJc w:val="left"/>
      <w:lvlText w:val="(%1)"/>
      <w:numFmt w:val="decimal"/>
      <w:start w:val="1"/>
    </w:lvl>
  </w:abstractNum>
  <w:abstractNum w:abstractNumId="84">
    <w:nsid w:val="3222E7CD"/>
    <w:multiLevelType w:val="hybridMultilevel"/>
    <w:lvl w:ilvl="0">
      <w:lvlJc w:val="left"/>
      <w:lvlText w:val="(%1)"/>
      <w:numFmt w:val="decimal"/>
      <w:start w:val="1"/>
    </w:lvl>
  </w:abstractNum>
  <w:abstractNum w:abstractNumId="85">
    <w:nsid w:val="74DE0EE3"/>
    <w:multiLevelType w:val="hybridMultilevel"/>
    <w:lvl w:ilvl="0">
      <w:lvlJc w:val="left"/>
      <w:lvlText w:val="(%1)"/>
      <w:numFmt w:val="decimal"/>
      <w:start w:val="1"/>
    </w:lvl>
  </w:abstractNum>
  <w:abstractNum w:abstractNumId="86">
    <w:nsid w:val="68EBC550"/>
    <w:multiLevelType w:val="hybridMultilevel"/>
    <w:lvl w:ilvl="0">
      <w:lvlJc w:val="left"/>
      <w:lvlText w:val="(%1)"/>
      <w:numFmt w:val="decimal"/>
      <w:start w:val="1"/>
    </w:lvl>
  </w:abstractNum>
  <w:abstractNum w:abstractNumId="87">
    <w:nsid w:val="2DF6D648"/>
    <w:multiLevelType w:val="hybridMultilevel"/>
    <w:lvl w:ilvl="0">
      <w:lvlJc w:val="left"/>
      <w:lvlText w:val="(%1)"/>
      <w:numFmt w:val="decimal"/>
      <w:start w:val="1"/>
    </w:lvl>
  </w:abstractNum>
  <w:abstractNum w:abstractNumId="88">
    <w:nsid w:val="46B7D447"/>
    <w:multiLevelType w:val="hybridMultilevel"/>
    <w:lvl w:ilvl="0">
      <w:lvlJc w:val="left"/>
      <w:lvlText w:val="(%1)"/>
      <w:numFmt w:val="decimal"/>
      <w:start w:val="1"/>
    </w:lvl>
  </w:abstractNum>
  <w:abstractNum w:abstractNumId="89">
    <w:nsid w:val="4A2AC315"/>
    <w:multiLevelType w:val="hybridMultilevel"/>
    <w:lvl w:ilvl="0">
      <w:lvlJc w:val="left"/>
      <w:lvlText w:val="(%1)"/>
      <w:numFmt w:val="decimal"/>
      <w:start w:val="1"/>
    </w:lvl>
  </w:abstractNum>
  <w:abstractNum w:abstractNumId="90">
    <w:nsid w:val="39EE015C"/>
    <w:multiLevelType w:val="hybridMultilevel"/>
    <w:lvl w:ilvl="0">
      <w:lvlJc w:val="left"/>
      <w:lvlText w:val="(%1)"/>
      <w:numFmt w:val="lowerRoman"/>
      <w:start w:val="1"/>
    </w:lvl>
  </w:abstractNum>
  <w:abstractNum w:abstractNumId="91">
    <w:nsid w:val="57FC4FBB"/>
    <w:multiLevelType w:val="hybridMultilevel"/>
    <w:lvl w:ilvl="0">
      <w:lvlJc w:val="left"/>
      <w:lvlText w:val="(%1)"/>
      <w:numFmt w:val="decimal"/>
      <w:start w:val="1"/>
    </w:lvl>
  </w:abstractNum>
  <w:abstractNum w:abstractNumId="92">
    <w:nsid w:val="CC1016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2019-11-28T10:38:54Z</dcterms:created>
  <dcterms:modified xsi:type="dcterms:W3CDTF">2019-11-28T10:38:54Z</dcterms:modified>
</cp:coreProperties>
</file>